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4535B" w:rsidRDefault="00F92268" w:rsidP="00367712">
      <w:pPr>
        <w:pStyle w:val="BodyText"/>
        <w:rPr>
          <w:sz w:val="6"/>
          <w:szCs w:val="6"/>
        </w:rPr>
      </w:pPr>
      <w:r w:rsidRPr="0024535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4535B" w14:paraId="626EF7AA" w14:textId="77777777" w:rsidTr="785135B7">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4535B" w:rsidRDefault="00F92268" w:rsidP="000025F0">
            <w:pPr>
              <w:pStyle w:val="Header"/>
              <w:rPr>
                <w:rFonts w:cs="Arial"/>
                <w:sz w:val="16"/>
                <w:szCs w:val="16"/>
              </w:rPr>
            </w:pPr>
            <w:r w:rsidRPr="0024535B">
              <w:rPr>
                <w:rFonts w:cs="Arial"/>
                <w:sz w:val="16"/>
                <w:szCs w:val="16"/>
              </w:rPr>
              <w:t>Reference number(s)</w:t>
            </w:r>
          </w:p>
        </w:tc>
      </w:tr>
      <w:tr w:rsidR="00F92268" w:rsidRPr="0024535B" w14:paraId="2C20F89A" w14:textId="77777777" w:rsidTr="785135B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2C01E1E" w:rsidR="00F92268" w:rsidRPr="0024535B" w:rsidRDefault="00712C09" w:rsidP="000025F0">
            <w:pPr>
              <w:pStyle w:val="Header"/>
              <w:rPr>
                <w:rFonts w:cs="Arial"/>
                <w:sz w:val="16"/>
                <w:szCs w:val="16"/>
              </w:rPr>
            </w:pPr>
            <w:r w:rsidRPr="0024535B">
              <w:rPr>
                <w:rFonts w:cs="Arial"/>
                <w:sz w:val="16"/>
                <w:szCs w:val="16"/>
              </w:rPr>
              <w:t>1368-</w:t>
            </w:r>
            <w:r w:rsidR="005B64BE" w:rsidRPr="0024535B">
              <w:rPr>
                <w:rFonts w:cs="Arial"/>
                <w:sz w:val="16"/>
                <w:szCs w:val="16"/>
              </w:rPr>
              <w:t>A</w:t>
            </w:r>
          </w:p>
        </w:tc>
      </w:tr>
    </w:tbl>
    <w:p w14:paraId="6983BD6A" w14:textId="77777777" w:rsidR="00317E19" w:rsidRPr="0024535B" w:rsidRDefault="00317E19" w:rsidP="007E5C16">
      <w:pPr>
        <w:pStyle w:val="Heading1"/>
        <w:rPr>
          <w:sz w:val="22"/>
          <w:szCs w:val="22"/>
        </w:rPr>
        <w:sectPr w:rsidR="00317E19" w:rsidRPr="0024535B" w:rsidSect="005F49D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4A599AC" w:rsidR="004B15BB" w:rsidRPr="0024535B" w:rsidRDefault="008E7BBB" w:rsidP="007E5C16">
      <w:pPr>
        <w:pStyle w:val="Heading1"/>
      </w:pPr>
      <w:r>
        <w:t xml:space="preserve">Initial </w:t>
      </w:r>
      <w:r w:rsidR="00F42D9F" w:rsidRPr="0024535B">
        <w:t>Prior Authorization</w:t>
      </w:r>
      <w:r w:rsidR="006F1933" w:rsidRPr="0024535B">
        <w:br/>
        <w:t>Testosterone</w:t>
      </w:r>
      <w:r w:rsidR="00C55F22">
        <w:t xml:space="preserve"> </w:t>
      </w:r>
      <w:r w:rsidR="006F1933" w:rsidRPr="0024535B">
        <w:t>–</w:t>
      </w:r>
      <w:r w:rsidR="00C55F22">
        <w:t xml:space="preserve"> </w:t>
      </w:r>
      <w:r>
        <w:t>Testosterone Enanthate</w:t>
      </w:r>
    </w:p>
    <w:p w14:paraId="78861C92" w14:textId="46F9EB60" w:rsidR="00203468" w:rsidRPr="0024535B" w:rsidRDefault="00C64534" w:rsidP="008E0F0D">
      <w:pPr>
        <w:pStyle w:val="Heading2"/>
      </w:pPr>
      <w:r w:rsidRPr="0024535B">
        <w:t xml:space="preserve">Products Referenced by this </w:t>
      </w:r>
      <w:r w:rsidR="00501602" w:rsidRPr="0024535B">
        <w:t>Document</w:t>
      </w:r>
    </w:p>
    <w:p w14:paraId="5455152B" w14:textId="316D2550" w:rsidR="008E0F0D" w:rsidRPr="0024535B" w:rsidRDefault="00D82D85" w:rsidP="008B73E8">
      <w:pPr>
        <w:pStyle w:val="BodyText"/>
      </w:pPr>
      <w:r w:rsidRPr="0024535B">
        <w:t xml:space="preserve">Drugs that are listed in the </w:t>
      </w:r>
      <w:r w:rsidR="000315F1" w:rsidRPr="0024535B">
        <w:t>following table</w:t>
      </w:r>
      <w:r w:rsidRPr="0024535B">
        <w:t xml:space="preserve"> include both brand and generic and all dosage forms and strengths unless otherwise stated. </w:t>
      </w:r>
      <w:r w:rsidR="00931ED4" w:rsidRPr="00BD1CC1">
        <w:t>O</w:t>
      </w:r>
      <w:r w:rsidR="00931ED4">
        <w:t>ver-the-counter</w:t>
      </w:r>
      <w:r w:rsidR="00931ED4" w:rsidRPr="00BD1CC1">
        <w:t xml:space="preserve"> </w:t>
      </w:r>
      <w:r w:rsidR="00931ED4">
        <w:t xml:space="preserve">(OTC) </w:t>
      </w:r>
      <w:r w:rsidRPr="0024535B">
        <w:t>products are not included unless otherwise stated.</w:t>
      </w:r>
    </w:p>
    <w:tbl>
      <w:tblPr>
        <w:tblStyle w:val="TableGrid"/>
        <w:tblW w:w="105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500"/>
        <w:gridCol w:w="3500"/>
        <w:gridCol w:w="3500"/>
      </w:tblGrid>
      <w:tr w:rsidR="009045BC" w:rsidRPr="0024535B" w14:paraId="158421F8" w14:textId="001E0AD2" w:rsidTr="00493353">
        <w:trPr>
          <w:cantSplit/>
          <w:trHeight w:val="288"/>
          <w:tblHeader/>
        </w:trPr>
        <w:tc>
          <w:tcPr>
            <w:tcW w:w="3500" w:type="dxa"/>
            <w:vAlign w:val="center"/>
          </w:tcPr>
          <w:p w14:paraId="2A27354A" w14:textId="1390179E" w:rsidR="009045BC" w:rsidRPr="0024535B" w:rsidRDefault="009045BC" w:rsidP="00D41973">
            <w:pPr>
              <w:pStyle w:val="TableHeader"/>
              <w:spacing w:after="0"/>
            </w:pPr>
            <w:bookmarkStart w:id="0" w:name="_Hlk159603270"/>
            <w:r w:rsidRPr="0024535B">
              <w:t>Brand Name</w:t>
            </w:r>
          </w:p>
        </w:tc>
        <w:tc>
          <w:tcPr>
            <w:tcW w:w="3500" w:type="dxa"/>
            <w:vAlign w:val="center"/>
          </w:tcPr>
          <w:p w14:paraId="3D342BE1" w14:textId="75F11EF1" w:rsidR="009045BC" w:rsidRPr="0024535B" w:rsidRDefault="009045BC" w:rsidP="00D41973">
            <w:pPr>
              <w:pStyle w:val="TableHeader"/>
              <w:spacing w:after="0"/>
            </w:pPr>
            <w:r w:rsidRPr="0024535B">
              <w:t>Generic Name</w:t>
            </w:r>
          </w:p>
        </w:tc>
        <w:tc>
          <w:tcPr>
            <w:tcW w:w="3500" w:type="dxa"/>
          </w:tcPr>
          <w:p w14:paraId="1B91C2D4" w14:textId="6E67AB72" w:rsidR="009045BC" w:rsidRPr="0024535B" w:rsidRDefault="009045BC" w:rsidP="00D41973">
            <w:pPr>
              <w:pStyle w:val="TableHeader"/>
              <w:spacing w:after="0"/>
            </w:pPr>
            <w:r>
              <w:t>Dosage Form</w:t>
            </w:r>
          </w:p>
        </w:tc>
      </w:tr>
      <w:tr w:rsidR="009045BC" w:rsidRPr="0024535B" w14:paraId="2AD5C02D" w14:textId="31F589FF" w:rsidTr="00493353">
        <w:trPr>
          <w:cantSplit/>
        </w:trPr>
        <w:tc>
          <w:tcPr>
            <w:tcW w:w="3500" w:type="dxa"/>
          </w:tcPr>
          <w:p w14:paraId="2D8FA8E3" w14:textId="437D9625" w:rsidR="009045BC" w:rsidRPr="0024535B" w:rsidRDefault="00EB2146" w:rsidP="00D41973">
            <w:pPr>
              <w:pStyle w:val="TableDataUnpadded"/>
            </w:pPr>
            <w:r>
              <w:t xml:space="preserve">testosterone enanthate (generic </w:t>
            </w:r>
            <w:proofErr w:type="spellStart"/>
            <w:r w:rsidR="009045BC" w:rsidRPr="0024535B">
              <w:t>Delatestry</w:t>
            </w:r>
            <w:proofErr w:type="spellEnd"/>
            <w:r>
              <w:t xml:space="preserve"> – brand unavailable)</w:t>
            </w:r>
          </w:p>
        </w:tc>
        <w:tc>
          <w:tcPr>
            <w:tcW w:w="3500" w:type="dxa"/>
          </w:tcPr>
          <w:p w14:paraId="7E26A004" w14:textId="5F639AE2" w:rsidR="009045BC" w:rsidRPr="0024535B" w:rsidRDefault="009045BC" w:rsidP="00D41973">
            <w:pPr>
              <w:pStyle w:val="TableDataUnpadded"/>
            </w:pPr>
            <w:r w:rsidRPr="0024535B">
              <w:t>testosterone enanthate</w:t>
            </w:r>
          </w:p>
        </w:tc>
        <w:tc>
          <w:tcPr>
            <w:tcW w:w="3500" w:type="dxa"/>
          </w:tcPr>
          <w:p w14:paraId="33BBBED9" w14:textId="00051110" w:rsidR="009045BC" w:rsidRPr="0024535B" w:rsidRDefault="00EB2146" w:rsidP="00D41973">
            <w:pPr>
              <w:pStyle w:val="TableDataUnpadded"/>
            </w:pPr>
            <w:r>
              <w:t>i</w:t>
            </w:r>
            <w:r w:rsidR="00084003" w:rsidRPr="0024535B">
              <w:t>njection</w:t>
            </w:r>
          </w:p>
        </w:tc>
      </w:tr>
      <w:tr w:rsidR="009045BC" w:rsidRPr="0024535B" w14:paraId="79C2A122" w14:textId="5F2719BF" w:rsidTr="00493353">
        <w:trPr>
          <w:cantSplit/>
        </w:trPr>
        <w:tc>
          <w:tcPr>
            <w:tcW w:w="3500" w:type="dxa"/>
          </w:tcPr>
          <w:p w14:paraId="08001603" w14:textId="17B8C05A" w:rsidR="009045BC" w:rsidRPr="0024535B" w:rsidRDefault="009045BC" w:rsidP="00D41973">
            <w:pPr>
              <w:pStyle w:val="TableDataUnpadded"/>
            </w:pPr>
            <w:proofErr w:type="spellStart"/>
            <w:r w:rsidRPr="0024535B">
              <w:t>Xyosted</w:t>
            </w:r>
            <w:proofErr w:type="spellEnd"/>
          </w:p>
        </w:tc>
        <w:tc>
          <w:tcPr>
            <w:tcW w:w="3500" w:type="dxa"/>
          </w:tcPr>
          <w:p w14:paraId="26C54A5D" w14:textId="3EA3AF70" w:rsidR="009045BC" w:rsidRPr="0024535B" w:rsidRDefault="009045BC" w:rsidP="00D41973">
            <w:pPr>
              <w:pStyle w:val="TableDataUnpadded"/>
            </w:pPr>
            <w:r w:rsidRPr="0024535B">
              <w:t>testosterone enanthate</w:t>
            </w:r>
          </w:p>
        </w:tc>
        <w:tc>
          <w:tcPr>
            <w:tcW w:w="3500" w:type="dxa"/>
          </w:tcPr>
          <w:p w14:paraId="7A139BDC" w14:textId="5D6C416B" w:rsidR="009045BC" w:rsidRPr="0024535B" w:rsidRDefault="00EB2146" w:rsidP="00D41973">
            <w:pPr>
              <w:pStyle w:val="TableDataUnpadded"/>
            </w:pPr>
            <w:r>
              <w:t>i</w:t>
            </w:r>
            <w:r w:rsidR="00084003" w:rsidRPr="0024535B">
              <w:t>njection</w:t>
            </w:r>
          </w:p>
        </w:tc>
      </w:tr>
    </w:tbl>
    <w:bookmarkEnd w:id="0"/>
    <w:p w14:paraId="14CE6108" w14:textId="433D3402" w:rsidR="00FC1AAD" w:rsidRPr="0024535B" w:rsidRDefault="00ED052F" w:rsidP="00ED052F">
      <w:pPr>
        <w:pStyle w:val="Heading2"/>
      </w:pPr>
      <w:r w:rsidRPr="0024535B">
        <w:t>Indications</w:t>
      </w:r>
    </w:p>
    <w:p w14:paraId="134B5687" w14:textId="564D4DE7" w:rsidR="00ED052F" w:rsidRPr="0024535B" w:rsidRDefault="00ED052F" w:rsidP="00ED052F">
      <w:pPr>
        <w:pStyle w:val="Heading3"/>
        <w:keepNext w:val="0"/>
      </w:pPr>
      <w:r w:rsidRPr="0024535B">
        <w:t>FDA-</w:t>
      </w:r>
      <w:r w:rsidR="00EB2146">
        <w:t>a</w:t>
      </w:r>
      <w:r w:rsidRPr="0024535B">
        <w:t>pproved Indications</w:t>
      </w:r>
    </w:p>
    <w:p w14:paraId="23893C77" w14:textId="300A74A4" w:rsidR="007719B7" w:rsidRPr="00EB2146" w:rsidRDefault="00137942" w:rsidP="00EB2146">
      <w:pPr>
        <w:pStyle w:val="Heading4"/>
      </w:pPr>
      <w:r w:rsidRPr="00EB2146">
        <w:t>Testosterone Enanthate Injection</w:t>
      </w:r>
    </w:p>
    <w:p w14:paraId="4C11EDD2" w14:textId="13D78F10" w:rsidR="00ED052F" w:rsidRPr="0024535B" w:rsidRDefault="00CF5838" w:rsidP="00BC0B86">
      <w:pPr>
        <w:pStyle w:val="Heading5"/>
      </w:pPr>
      <w:r w:rsidRPr="0024535B">
        <w:t>Males</w:t>
      </w:r>
    </w:p>
    <w:p w14:paraId="6AEAC218" w14:textId="6DDF3599" w:rsidR="00753B12" w:rsidRPr="0024535B" w:rsidRDefault="00082229" w:rsidP="00BC0B86">
      <w:pPr>
        <w:pStyle w:val="BodyText"/>
      </w:pPr>
      <w:r w:rsidRPr="0024535B">
        <w:t xml:space="preserve">Testosterone </w:t>
      </w:r>
      <w:r w:rsidR="00BC0430">
        <w:t>e</w:t>
      </w:r>
      <w:r w:rsidRPr="0024535B">
        <w:t xml:space="preserve">nanthate </w:t>
      </w:r>
      <w:r w:rsidR="00BC0430">
        <w:t>i</w:t>
      </w:r>
      <w:r w:rsidRPr="0024535B">
        <w:t xml:space="preserve">njection (generic </w:t>
      </w:r>
      <w:proofErr w:type="spellStart"/>
      <w:r w:rsidRPr="0024535B">
        <w:t>Delatestryl</w:t>
      </w:r>
      <w:proofErr w:type="spellEnd"/>
      <w:r w:rsidRPr="0024535B">
        <w:t>) is indicated for replacement therapy in conditions associated with a deficiency or absence of endogenous testosterone.</w:t>
      </w:r>
    </w:p>
    <w:p w14:paraId="1A8AD4BB" w14:textId="5F73ED4C" w:rsidR="009A5649" w:rsidRPr="0024535B" w:rsidRDefault="008D5887" w:rsidP="00BC0B86">
      <w:pPr>
        <w:pStyle w:val="BodyText"/>
      </w:pPr>
      <w:r w:rsidRPr="0024535B">
        <w:t>Primary hypogonadism (congenital or acquired)</w:t>
      </w:r>
      <w:r w:rsidR="00BC0B86" w:rsidRPr="0024535B">
        <w:t xml:space="preserve"> - </w:t>
      </w:r>
      <w:r w:rsidR="00CF0083" w:rsidRPr="0024535B">
        <w:t>Testicular failure due to cryptorchidism, bilateral torsion, orchitis, vanishing testis syndrome, or orchiectomy.</w:t>
      </w:r>
    </w:p>
    <w:p w14:paraId="41E70807" w14:textId="142015A2" w:rsidR="005A376A" w:rsidRPr="0024535B" w:rsidRDefault="008B38A3" w:rsidP="00BC0B86">
      <w:pPr>
        <w:pStyle w:val="BodyText"/>
      </w:pPr>
      <w:r w:rsidRPr="0024535B">
        <w:t>Hypogonadotropic hypogonadism (congenital or acquired)</w:t>
      </w:r>
      <w:r w:rsidR="00BC0B86" w:rsidRPr="0024535B">
        <w:t xml:space="preserve"> - </w:t>
      </w:r>
      <w:r w:rsidR="005A376A" w:rsidRPr="0024535B">
        <w:t>Gonadotropin or luteinizing hormone-releasing hormone (LHRH) deficiency, or pituitary-hypothalamic injury from tumors, trauma, or radiation. (Appropriate adrenal cortical and thyroid hormone replacement therapy are still necessary, however, and are actually of primary importance).</w:t>
      </w:r>
    </w:p>
    <w:p w14:paraId="572BC2EB" w14:textId="77777777" w:rsidR="005A376A" w:rsidRPr="0024535B" w:rsidRDefault="005A376A" w:rsidP="005A376A">
      <w:pPr>
        <w:pStyle w:val="BodyText"/>
      </w:pPr>
      <w:r w:rsidRPr="0024535B">
        <w:t xml:space="preserve">If the above conditions occur prior to puberty, androgen replacement therapy will be needed during the adolescent years for development of secondary sexual characteristics. Prolonged androgen treatment will </w:t>
      </w:r>
      <w:r w:rsidRPr="0024535B">
        <w:lastRenderedPageBreak/>
        <w:t>be required to maintain sexual characteristics in these and other males who develop testosterone deficiency after puberty.</w:t>
      </w:r>
    </w:p>
    <w:p w14:paraId="415D5B0B" w14:textId="6C6BFB92" w:rsidR="007B4537" w:rsidRPr="0024535B" w:rsidRDefault="005A376A" w:rsidP="005A376A">
      <w:pPr>
        <w:pStyle w:val="BodyText"/>
      </w:pPr>
      <w:r w:rsidRPr="0024535B">
        <w:t xml:space="preserve">Safety and efficacy of </w:t>
      </w:r>
      <w:r w:rsidR="00435659">
        <w:t>t</w:t>
      </w:r>
      <w:r w:rsidRPr="0024535B">
        <w:t xml:space="preserve">estosterone </w:t>
      </w:r>
      <w:r w:rsidR="00435659">
        <w:t>e</w:t>
      </w:r>
      <w:r w:rsidRPr="0024535B">
        <w:t xml:space="preserve">nanthate </w:t>
      </w:r>
      <w:r w:rsidR="00435659">
        <w:t>i</w:t>
      </w:r>
      <w:r w:rsidRPr="0024535B">
        <w:t xml:space="preserve">njection (generic </w:t>
      </w:r>
      <w:proofErr w:type="spellStart"/>
      <w:r w:rsidRPr="0024535B">
        <w:t>Delatestryl</w:t>
      </w:r>
      <w:proofErr w:type="spellEnd"/>
      <w:r w:rsidRPr="0024535B">
        <w:t>) in men with age-related hypogonadism have not been established</w:t>
      </w:r>
      <w:r w:rsidR="00A5154D" w:rsidRPr="0024535B">
        <w:t>.</w:t>
      </w:r>
    </w:p>
    <w:p w14:paraId="7E80930F" w14:textId="45F186C2" w:rsidR="00821D6A" w:rsidRPr="0024535B" w:rsidRDefault="00B91A95" w:rsidP="00BC0B86">
      <w:pPr>
        <w:pStyle w:val="BodyText"/>
      </w:pPr>
      <w:r w:rsidRPr="0024535B">
        <w:t>Delayed puberty</w:t>
      </w:r>
      <w:r w:rsidR="00BC0B86" w:rsidRPr="0024535B">
        <w:t xml:space="preserve"> - </w:t>
      </w:r>
      <w:r w:rsidR="002D3F4E" w:rsidRPr="0024535B">
        <w:t xml:space="preserve">Testosterone </w:t>
      </w:r>
      <w:r w:rsidR="00BB565B">
        <w:t>e</w:t>
      </w:r>
      <w:r w:rsidR="002D3F4E" w:rsidRPr="0024535B">
        <w:t xml:space="preserve">nanthate </w:t>
      </w:r>
      <w:r w:rsidR="00BB565B">
        <w:t>i</w:t>
      </w:r>
      <w:r w:rsidR="002D3F4E" w:rsidRPr="0024535B">
        <w:t xml:space="preserve">njection (generic </w:t>
      </w:r>
      <w:proofErr w:type="spellStart"/>
      <w:r w:rsidR="002D3F4E" w:rsidRPr="0024535B">
        <w:t>Delatestryl</w:t>
      </w:r>
      <w:proofErr w:type="spellEnd"/>
      <w:r w:rsidR="002D3F4E" w:rsidRPr="0024535B">
        <w:t>) may be used to stimulate puberty in carefully selected males with clearly delayed puberty. These patients usually have a familial pattern of delayed puberty that is not secondary to a pathological disorder; puberty is expected to occur spontaneously at a relatively late date. Brief treatment with conservative doses may occasionally be justified in these patients if they do not respond to psychological support. The potential adverse effect on bone maturation should be discussed with the patient and parents prior to androgen administration. An X-ray of the hand and wrist to determine bone age should be obtained every six months to assess the effect of treatment on the epiphyseal centers</w:t>
      </w:r>
      <w:r w:rsidR="00046212" w:rsidRPr="0024535B">
        <w:t>.</w:t>
      </w:r>
    </w:p>
    <w:p w14:paraId="76018D44" w14:textId="6CADBDA7" w:rsidR="002D3F4E" w:rsidRPr="0024535B" w:rsidRDefault="000B2A1D" w:rsidP="00BC0B86">
      <w:pPr>
        <w:pStyle w:val="Heading5"/>
      </w:pPr>
      <w:r w:rsidRPr="0024535B">
        <w:t>Females</w:t>
      </w:r>
    </w:p>
    <w:p w14:paraId="39DCA110" w14:textId="0D4AA670" w:rsidR="002D3F4E" w:rsidRPr="0024535B" w:rsidRDefault="00186EDA" w:rsidP="00BC0B86">
      <w:pPr>
        <w:pStyle w:val="BodyText"/>
      </w:pPr>
      <w:r w:rsidRPr="0024535B">
        <w:t>Metastatic mammary cancer</w:t>
      </w:r>
      <w:r w:rsidR="00BC0B86" w:rsidRPr="0024535B">
        <w:t xml:space="preserve"> - </w:t>
      </w:r>
      <w:r w:rsidR="008C0BD9" w:rsidRPr="0024535B">
        <w:t xml:space="preserve">Testosterone </w:t>
      </w:r>
      <w:r w:rsidR="00AB3DDC">
        <w:t>e</w:t>
      </w:r>
      <w:r w:rsidR="008C0BD9" w:rsidRPr="0024535B">
        <w:t xml:space="preserve">nanthate </w:t>
      </w:r>
      <w:r w:rsidR="00AB3DDC">
        <w:t>i</w:t>
      </w:r>
      <w:r w:rsidR="008C0BD9" w:rsidRPr="0024535B">
        <w:t xml:space="preserve">njection (generic </w:t>
      </w:r>
      <w:proofErr w:type="spellStart"/>
      <w:r w:rsidR="008C0BD9" w:rsidRPr="0024535B">
        <w:t>Delatestryl</w:t>
      </w:r>
      <w:proofErr w:type="spellEnd"/>
      <w:r w:rsidR="008C0BD9" w:rsidRPr="0024535B">
        <w:t>) may be used secondarily in women with advancing inoperable metastatic (skeletal) mammary cancer who are one to five years postmenopausal. Primary goals of therapy in these women include ablation of the ovaries. Other methods of counteracting estrogen activity are adrenalectomy, hypophysectomy, and/or anti-estrogen therapy. This treatment has also been used in premenopausal women with breast cancer who have benefited from oophorectomy and are considered to a have a hormone-responsive tumor. Judgment concerning androgen therapy should be made by an oncologist with expertise in this field.</w:t>
      </w:r>
    </w:p>
    <w:p w14:paraId="5F93D2B0" w14:textId="3FA1DD3F" w:rsidR="008C0BD9" w:rsidRPr="0024535B" w:rsidRDefault="00A56CD0" w:rsidP="00493353">
      <w:pPr>
        <w:pStyle w:val="Heading4"/>
      </w:pPr>
      <w:proofErr w:type="spellStart"/>
      <w:r w:rsidRPr="0024535B">
        <w:t>Xyosted</w:t>
      </w:r>
      <w:proofErr w:type="spellEnd"/>
    </w:p>
    <w:p w14:paraId="0B50921F" w14:textId="2A4FDCE8" w:rsidR="00A5154D" w:rsidRPr="0024535B" w:rsidRDefault="00A5154D" w:rsidP="00BC0B86">
      <w:pPr>
        <w:pStyle w:val="BodyText"/>
      </w:pPr>
      <w:proofErr w:type="spellStart"/>
      <w:r w:rsidRPr="0024535B">
        <w:t>Xyosted</w:t>
      </w:r>
      <w:proofErr w:type="spellEnd"/>
      <w:r w:rsidRPr="0024535B">
        <w:t xml:space="preserve"> (testosterone enanthate) injection is an androgen indicated for testosterone replacement therapy in adult males for conditions associated with a deficiency or absence of endogenous testosterone</w:t>
      </w:r>
      <w:r w:rsidR="00046212" w:rsidRPr="0024535B">
        <w:t>.</w:t>
      </w:r>
    </w:p>
    <w:p w14:paraId="0CD8DFA8" w14:textId="501A123E" w:rsidR="0094563A" w:rsidRPr="0024535B" w:rsidRDefault="0094563A" w:rsidP="00BC0B86">
      <w:pPr>
        <w:pStyle w:val="ListParagraph"/>
        <w:numPr>
          <w:ilvl w:val="0"/>
          <w:numId w:val="28"/>
        </w:numPr>
      </w:pPr>
      <w:r w:rsidRPr="0024535B">
        <w:t>Primary hypogonadism (congenital or acquired): testicular failure due to cryptorchidism, bilateral torsion, orchitis, vanishing testis syndrome, orchiectomy, Klinefelter’s syndrome, chemotherapy, or toxic damage from alcohol or heavy metals. These men usually have low serum testosterone concentrations and gonadotropins (follicle-stimulating hormone [FSH], luteinizing hormone [LH]) above the normal range.</w:t>
      </w:r>
    </w:p>
    <w:p w14:paraId="0818617A" w14:textId="2959BA50" w:rsidR="008C0BD9" w:rsidRPr="0024535B" w:rsidRDefault="0094563A" w:rsidP="00BC0B86">
      <w:pPr>
        <w:pStyle w:val="ListParagraph"/>
        <w:numPr>
          <w:ilvl w:val="0"/>
          <w:numId w:val="28"/>
        </w:numPr>
      </w:pPr>
      <w:r w:rsidRPr="0024535B">
        <w:t>Hypogonadotropic hypogonadism (congenital or acquired): gonadotropin or luteinizing hormone-releasing hormone (LHRH) deficiency or pituitary-hypothalamic injury from tumors, trauma, or radiation. These men have low testosterone serum concentrations but have gonadotropins in the low or normal range</w:t>
      </w:r>
      <w:r w:rsidR="008C0BD9" w:rsidRPr="0024535B">
        <w:t>.</w:t>
      </w:r>
    </w:p>
    <w:p w14:paraId="6970DC88" w14:textId="1762CAF3" w:rsidR="003D305C" w:rsidRPr="0024535B" w:rsidRDefault="00FE42D2" w:rsidP="00493353">
      <w:pPr>
        <w:pStyle w:val="Heading5"/>
      </w:pPr>
      <w:r w:rsidRPr="0024535B">
        <w:t>Limitations of Use</w:t>
      </w:r>
      <w:r w:rsidR="00046212" w:rsidRPr="0024535B">
        <w:t>:</w:t>
      </w:r>
    </w:p>
    <w:p w14:paraId="02E7DAFC" w14:textId="4BD839B9" w:rsidR="00230BEC" w:rsidRPr="0024535B" w:rsidRDefault="00230BEC" w:rsidP="00BC0B86">
      <w:pPr>
        <w:pStyle w:val="ListParagraph"/>
        <w:numPr>
          <w:ilvl w:val="0"/>
          <w:numId w:val="29"/>
        </w:numPr>
      </w:pPr>
      <w:r w:rsidRPr="0024535B">
        <w:t xml:space="preserve">Safety and efficacy of </w:t>
      </w:r>
      <w:proofErr w:type="spellStart"/>
      <w:r w:rsidRPr="0024535B">
        <w:t>Xyosted</w:t>
      </w:r>
      <w:proofErr w:type="spellEnd"/>
      <w:r w:rsidRPr="0024535B">
        <w:t xml:space="preserve"> in males less than 18 years old have not been established</w:t>
      </w:r>
      <w:r w:rsidR="00046212" w:rsidRPr="0024535B">
        <w:t>.</w:t>
      </w:r>
    </w:p>
    <w:p w14:paraId="27DE8A54" w14:textId="19AB2E36" w:rsidR="004C57B1" w:rsidRDefault="004C57B1" w:rsidP="00C53ACD">
      <w:pPr>
        <w:pStyle w:val="Heading3"/>
      </w:pPr>
      <w:r w:rsidRPr="0024535B">
        <w:t>Compendial Uses</w:t>
      </w:r>
    </w:p>
    <w:p w14:paraId="7A7F69B8" w14:textId="19823E87" w:rsidR="00523700" w:rsidRPr="00523700" w:rsidRDefault="00523700" w:rsidP="00523700">
      <w:pPr>
        <w:pStyle w:val="Heading4"/>
      </w:pPr>
      <w:r>
        <w:t xml:space="preserve">Testosterone Enanthate Injection, </w:t>
      </w:r>
      <w:proofErr w:type="spellStart"/>
      <w:r>
        <w:t>Xyosted</w:t>
      </w:r>
      <w:proofErr w:type="spellEnd"/>
    </w:p>
    <w:p w14:paraId="1D9119FA" w14:textId="66345207" w:rsidR="004C57B1" w:rsidRPr="0024535B" w:rsidRDefault="004D4C78" w:rsidP="00BC0B86">
      <w:pPr>
        <w:pStyle w:val="BodyText"/>
      </w:pPr>
      <w:r w:rsidRPr="0024535B">
        <w:t>Gender dysphoria</w:t>
      </w:r>
      <w:r w:rsidRPr="0024535B">
        <w:rPr>
          <w:vertAlign w:val="superscript"/>
        </w:rPr>
        <w:t xml:space="preserve">5,7-9 </w:t>
      </w:r>
      <w:r w:rsidRPr="0024535B">
        <w:t>(also known as transgender and gender diverse (TGD) persons)</w:t>
      </w:r>
    </w:p>
    <w:p w14:paraId="50A38FBA" w14:textId="7A2446E4" w:rsidR="00FE0C63" w:rsidRPr="0024535B" w:rsidRDefault="00685107" w:rsidP="00367712">
      <w:pPr>
        <w:pStyle w:val="Heading2"/>
        <w:keepNext w:val="0"/>
        <w:widowControl w:val="0"/>
      </w:pPr>
      <w:r w:rsidRPr="0024535B">
        <w:t>Coverage Criteria</w:t>
      </w:r>
    </w:p>
    <w:p w14:paraId="5E357792" w14:textId="0F68A1A7" w:rsidR="00C22F9B" w:rsidRPr="0024535B" w:rsidRDefault="002F79E8" w:rsidP="00367712">
      <w:pPr>
        <w:pStyle w:val="Heading3"/>
        <w:keepNext w:val="0"/>
        <w:keepLines w:val="0"/>
        <w:widowControl w:val="0"/>
      </w:pPr>
      <w:r w:rsidRPr="0024535B">
        <w:t>Breast Cancer (Hormone-Responsive Tumor)</w:t>
      </w:r>
    </w:p>
    <w:p w14:paraId="443905D6" w14:textId="055466C7" w:rsidR="00C22F9B" w:rsidRPr="0024535B" w:rsidRDefault="00B11AA5" w:rsidP="00367712">
      <w:pPr>
        <w:pStyle w:val="BodyText"/>
        <w:widowControl w:val="0"/>
      </w:pPr>
      <w:r w:rsidRPr="0024535B">
        <w:t>Authorization may be granted when the requested drug is being prescribed for a premenopausal patient with breast cancer who has benefited from oophorectomy AND is considered to have a hormone-responsive tumor when ALL of the following criteria are met:</w:t>
      </w:r>
    </w:p>
    <w:p w14:paraId="7FBCF9A3" w14:textId="5DF11D43" w:rsidR="00757A14" w:rsidRPr="0024535B" w:rsidRDefault="00757A14" w:rsidP="00BC0B86">
      <w:pPr>
        <w:pStyle w:val="ListParagraph"/>
        <w:numPr>
          <w:ilvl w:val="0"/>
          <w:numId w:val="29"/>
        </w:numPr>
      </w:pPr>
      <w:r w:rsidRPr="0024535B">
        <w:t>The requested drug is NOT being prescribed for age-related hypogonadism (also referred to as late-onset hypogonadism)</w:t>
      </w:r>
      <w:r w:rsidR="00364AE9">
        <w:t>. [</w:t>
      </w:r>
      <w:r w:rsidR="007A76F7">
        <w:t xml:space="preserve">NOTE: </w:t>
      </w:r>
      <w:r w:rsidR="00364AE9">
        <w:t xml:space="preserve">Safety and efficacy of testosterone products in patients with </w:t>
      </w:r>
      <w:r w:rsidR="008E7BBB">
        <w:t>“</w:t>
      </w:r>
      <w:r w:rsidR="00364AE9">
        <w:t>age-related hypogonadism</w:t>
      </w:r>
      <w:r w:rsidR="008E7BBB">
        <w:t>”</w:t>
      </w:r>
      <w:r w:rsidR="00364AE9">
        <w:t xml:space="preserve"> (also referred to as </w:t>
      </w:r>
      <w:r w:rsidR="008E7BBB">
        <w:t>“</w:t>
      </w:r>
      <w:r w:rsidR="00364AE9">
        <w:t>late-onset hypogonadism</w:t>
      </w:r>
      <w:r w:rsidR="008E7BBB">
        <w:t>”</w:t>
      </w:r>
      <w:r w:rsidR="00364AE9">
        <w:t>) have not been established.]</w:t>
      </w:r>
    </w:p>
    <w:p w14:paraId="0C89D240" w14:textId="6B5797A7" w:rsidR="00C22F9B" w:rsidRPr="0024535B" w:rsidRDefault="00757A14" w:rsidP="00BC0B86">
      <w:pPr>
        <w:pStyle w:val="ListParagraph"/>
        <w:numPr>
          <w:ilvl w:val="0"/>
          <w:numId w:val="29"/>
        </w:numPr>
      </w:pPr>
      <w:r w:rsidRPr="0024535B">
        <w:t xml:space="preserve">The request is for intramuscular testosterone enanthate injection (generic </w:t>
      </w:r>
      <w:proofErr w:type="spellStart"/>
      <w:r w:rsidRPr="0024535B">
        <w:t>Delatestryl</w:t>
      </w:r>
      <w:proofErr w:type="spellEnd"/>
      <w:r w:rsidRPr="0024535B">
        <w:t>)</w:t>
      </w:r>
      <w:r w:rsidR="00364AE9">
        <w:t>.</w:t>
      </w:r>
    </w:p>
    <w:p w14:paraId="3D08D2AC" w14:textId="665CBF01" w:rsidR="00173C53" w:rsidRPr="0024535B" w:rsidRDefault="00E32E3E" w:rsidP="00173C53">
      <w:pPr>
        <w:pStyle w:val="Heading3"/>
      </w:pPr>
      <w:r w:rsidRPr="0024535B">
        <w:t>Delayed Puberty</w:t>
      </w:r>
    </w:p>
    <w:p w14:paraId="1686F604" w14:textId="79BB982E" w:rsidR="00173C53" w:rsidRPr="0024535B" w:rsidRDefault="00A83138" w:rsidP="00173C53">
      <w:pPr>
        <w:pStyle w:val="BodyText"/>
      </w:pPr>
      <w:r w:rsidRPr="0024535B">
        <w:t>Authorization may be granted when the requested drug is being prescribed for delayed puberty when ALL of the following criteria are met:</w:t>
      </w:r>
    </w:p>
    <w:p w14:paraId="650D60CE" w14:textId="0FFD5A5F" w:rsidR="00687BE6" w:rsidRPr="0024535B" w:rsidRDefault="00687BE6" w:rsidP="00BC0B86">
      <w:pPr>
        <w:pStyle w:val="ListParagraph"/>
        <w:numPr>
          <w:ilvl w:val="0"/>
          <w:numId w:val="30"/>
        </w:numPr>
      </w:pPr>
      <w:r w:rsidRPr="0024535B">
        <w:t>The requested drug is NOT being prescribed for age-related hypogonadism (also referred to as late-onset hypogonadism)</w:t>
      </w:r>
      <w:r w:rsidR="00261AFE">
        <w:t>. [</w:t>
      </w:r>
      <w:r w:rsidR="007A76F7">
        <w:t xml:space="preserve">NOTE: </w:t>
      </w:r>
      <w:r w:rsidR="00261AFE">
        <w:t xml:space="preserve">Safety and efficacy of testosterone products in patients with </w:t>
      </w:r>
      <w:r w:rsidR="00004C55">
        <w:t>“</w:t>
      </w:r>
      <w:r w:rsidR="00261AFE">
        <w:t>age-related hypogonadism</w:t>
      </w:r>
      <w:r w:rsidR="00004C55">
        <w:t>”</w:t>
      </w:r>
      <w:r w:rsidR="00261AFE">
        <w:t xml:space="preserve"> (also referred to as </w:t>
      </w:r>
      <w:r w:rsidR="00004C55">
        <w:t>“</w:t>
      </w:r>
      <w:r w:rsidR="00261AFE">
        <w:t>late-onset hypogonadism</w:t>
      </w:r>
      <w:r w:rsidR="00004C55">
        <w:t>”</w:t>
      </w:r>
      <w:r w:rsidR="00261AFE">
        <w:t>) have not been established.]</w:t>
      </w:r>
    </w:p>
    <w:p w14:paraId="5298AFA6" w14:textId="7BB0E189" w:rsidR="00173C53" w:rsidRPr="0024535B" w:rsidRDefault="00687BE6" w:rsidP="00BC0B86">
      <w:pPr>
        <w:pStyle w:val="ListParagraph"/>
        <w:numPr>
          <w:ilvl w:val="0"/>
          <w:numId w:val="30"/>
        </w:numPr>
      </w:pPr>
      <w:r w:rsidRPr="0024535B">
        <w:t xml:space="preserve">The request is for intramuscular testosterone enanthate injection (generic </w:t>
      </w:r>
      <w:proofErr w:type="spellStart"/>
      <w:r w:rsidRPr="0024535B">
        <w:t>Delatestryl</w:t>
      </w:r>
      <w:proofErr w:type="spellEnd"/>
      <w:r w:rsidRPr="0024535B">
        <w:t>)</w:t>
      </w:r>
      <w:r w:rsidR="00261AFE">
        <w:t>.</w:t>
      </w:r>
    </w:p>
    <w:p w14:paraId="0391BAF0" w14:textId="295A0A3F" w:rsidR="000D4CED" w:rsidRPr="0024535B" w:rsidRDefault="00AF7A01" w:rsidP="000D4CED">
      <w:pPr>
        <w:pStyle w:val="Heading3"/>
      </w:pPr>
      <w:r w:rsidRPr="0024535B">
        <w:t>Gender Dysphoria</w:t>
      </w:r>
    </w:p>
    <w:p w14:paraId="08BD2A03" w14:textId="2CE14747" w:rsidR="000D4CED" w:rsidRPr="0024535B" w:rsidRDefault="006B1FCC" w:rsidP="000D4CED">
      <w:pPr>
        <w:pStyle w:val="BodyText"/>
      </w:pPr>
      <w:r w:rsidRPr="0024535B">
        <w:t>Authorization may be granted when the requested drug is being prescribed for gender dysphoria in a patient who is able to make an informed decision to engage in hormone therapy when ALL of the following criteria are met</w:t>
      </w:r>
      <w:r w:rsidR="00B93A68" w:rsidRPr="0024535B">
        <w:t>:</w:t>
      </w:r>
    </w:p>
    <w:p w14:paraId="5AF73581" w14:textId="0C381B66" w:rsidR="006E7302" w:rsidRPr="0024535B" w:rsidRDefault="006E7302" w:rsidP="00BC0B86">
      <w:pPr>
        <w:pStyle w:val="ListParagraph"/>
        <w:numPr>
          <w:ilvl w:val="0"/>
          <w:numId w:val="31"/>
        </w:numPr>
      </w:pPr>
      <w:r w:rsidRPr="0024535B">
        <w:t>The requested drug is NOT being prescribed for age-related hypogonadism (also referred to as late-onset hypogonadism)</w:t>
      </w:r>
      <w:r w:rsidR="00261AFE">
        <w:t>. [</w:t>
      </w:r>
      <w:r w:rsidR="007A76F7">
        <w:t xml:space="preserve">NOTE: </w:t>
      </w:r>
      <w:r w:rsidR="00261AFE">
        <w:t xml:space="preserve">Safety and efficacy of testosterone products in patients with </w:t>
      </w:r>
      <w:r w:rsidR="00004C55">
        <w:t>“</w:t>
      </w:r>
      <w:r w:rsidR="00261AFE">
        <w:t>age-related hypogonadism</w:t>
      </w:r>
      <w:r w:rsidR="00004C55">
        <w:t>”</w:t>
      </w:r>
      <w:r w:rsidR="00261AFE">
        <w:t xml:space="preserve"> (also referred to as </w:t>
      </w:r>
      <w:r w:rsidR="00004C55">
        <w:t>“</w:t>
      </w:r>
      <w:r w:rsidR="00261AFE">
        <w:t>late-onset hypogonadism</w:t>
      </w:r>
      <w:r w:rsidR="00004C55">
        <w:t>”</w:t>
      </w:r>
      <w:r w:rsidR="00261AFE">
        <w:t>) have not been established.]</w:t>
      </w:r>
    </w:p>
    <w:p w14:paraId="58CC8282" w14:textId="0C8F55AB" w:rsidR="006E7302" w:rsidRPr="0024535B" w:rsidRDefault="006E7302" w:rsidP="00BC0B86">
      <w:pPr>
        <w:pStyle w:val="ListParagraph"/>
        <w:numPr>
          <w:ilvl w:val="0"/>
          <w:numId w:val="31"/>
        </w:numPr>
      </w:pPr>
      <w:r w:rsidRPr="0024535B">
        <w:t>The patient’s comorbid conditions are reasonably controlled</w:t>
      </w:r>
      <w:r w:rsidR="00261AFE">
        <w:t>.</w:t>
      </w:r>
    </w:p>
    <w:p w14:paraId="38B79D9A" w14:textId="210C3F96" w:rsidR="006E7302" w:rsidRPr="0024535B" w:rsidRDefault="006E7302" w:rsidP="00BC0B86">
      <w:pPr>
        <w:pStyle w:val="ListParagraph"/>
        <w:numPr>
          <w:ilvl w:val="0"/>
          <w:numId w:val="31"/>
        </w:numPr>
      </w:pPr>
      <w:r w:rsidRPr="0024535B">
        <w:t>The patient has been educated on ANY contraindications AND side effects to therapy</w:t>
      </w:r>
      <w:r w:rsidR="00261AFE">
        <w:t>.</w:t>
      </w:r>
    </w:p>
    <w:p w14:paraId="7725F7C1" w14:textId="6C695EF2" w:rsidR="006E7302" w:rsidRPr="0024535B" w:rsidRDefault="006E7302" w:rsidP="00BC0B86">
      <w:pPr>
        <w:pStyle w:val="ListParagraph"/>
        <w:numPr>
          <w:ilvl w:val="0"/>
          <w:numId w:val="31"/>
        </w:numPr>
      </w:pPr>
      <w:r w:rsidRPr="0024535B">
        <w:t>Before the start of therapy, the patient has been informed of fertility preservation options</w:t>
      </w:r>
      <w:r w:rsidR="00261AFE">
        <w:t>.</w:t>
      </w:r>
    </w:p>
    <w:p w14:paraId="42FE0613" w14:textId="14BE481D" w:rsidR="000D4CED" w:rsidRPr="0024535B" w:rsidRDefault="006E7302" w:rsidP="00BC0B86">
      <w:pPr>
        <w:pStyle w:val="ListParagraph"/>
        <w:numPr>
          <w:ilvl w:val="0"/>
          <w:numId w:val="31"/>
        </w:numPr>
      </w:pPr>
      <w:r w:rsidRPr="0024535B">
        <w:t>If the patient is less than 18 years of age, then ALL of the following criteria are met</w:t>
      </w:r>
      <w:r w:rsidR="00261AFE">
        <w:t>:</w:t>
      </w:r>
    </w:p>
    <w:p w14:paraId="425595F9" w14:textId="03DFBC9B" w:rsidR="00E2643C" w:rsidRPr="0024535B" w:rsidRDefault="00E2643C" w:rsidP="00BC0B86">
      <w:pPr>
        <w:pStyle w:val="ListParagraph"/>
        <w:numPr>
          <w:ilvl w:val="1"/>
          <w:numId w:val="32"/>
        </w:numPr>
      </w:pPr>
      <w:r w:rsidRPr="0024535B">
        <w:t>The requested drug is prescribed by, or in consultation with, a provider specialized in the care of transgender youth (e.g., pediatric endocrinologist, family or internal medicine physician, obstetrician-gynecologist), that has collaborated care with a mental health provider</w:t>
      </w:r>
      <w:r w:rsidR="007E3E6A">
        <w:t>.</w:t>
      </w:r>
    </w:p>
    <w:p w14:paraId="7EFA12A7" w14:textId="10AA6877" w:rsidR="006E7302" w:rsidRPr="0024535B" w:rsidRDefault="00E2643C" w:rsidP="00BC0B86">
      <w:pPr>
        <w:pStyle w:val="ListParagraph"/>
        <w:numPr>
          <w:ilvl w:val="1"/>
          <w:numId w:val="32"/>
        </w:numPr>
      </w:pPr>
      <w:r w:rsidRPr="0024535B">
        <w:t>The patient has reached, or has previously reached, Tanner stage 2 of puberty or greater</w:t>
      </w:r>
      <w:r w:rsidR="007E3E6A">
        <w:t>.</w:t>
      </w:r>
    </w:p>
    <w:p w14:paraId="49581397" w14:textId="1B85FE30" w:rsidR="00CD1E43" w:rsidRPr="0024535B" w:rsidRDefault="00562920" w:rsidP="00CD1E43">
      <w:pPr>
        <w:pStyle w:val="Heading3"/>
      </w:pPr>
      <w:r w:rsidRPr="0024535B">
        <w:t>Inoperable Metastatic Breast Cancer</w:t>
      </w:r>
    </w:p>
    <w:p w14:paraId="52F474CD" w14:textId="2C5D2AE6" w:rsidR="00CD1E43" w:rsidRPr="0024535B" w:rsidRDefault="007A5967" w:rsidP="00CD1E43">
      <w:pPr>
        <w:pStyle w:val="BodyText"/>
      </w:pPr>
      <w:r w:rsidRPr="0024535B">
        <w:t>Authorization may be granted when the requested drug is being prescribed for inoperable metastatic breast cancer in a patient who is 1 to 5 years postmenopausal AND had an incomplete response to other therapy for metastatic breast cancer when ALL of the following criteria are met</w:t>
      </w:r>
      <w:r w:rsidR="00CD1E43" w:rsidRPr="0024535B">
        <w:t>:</w:t>
      </w:r>
    </w:p>
    <w:p w14:paraId="1CB61266" w14:textId="301092D3" w:rsidR="003B4F58" w:rsidRPr="0024535B" w:rsidRDefault="003B4F58" w:rsidP="00BC0B86">
      <w:pPr>
        <w:pStyle w:val="ListParagraph"/>
        <w:numPr>
          <w:ilvl w:val="0"/>
          <w:numId w:val="34"/>
        </w:numPr>
      </w:pPr>
      <w:r w:rsidRPr="0024535B">
        <w:t>The requested drug is NOT being prescribed for age-related hypogonadism (also referred to as late-onset hypogonadism)</w:t>
      </w:r>
      <w:r w:rsidR="007E3E6A">
        <w:t>. [</w:t>
      </w:r>
      <w:r w:rsidR="007A76F7">
        <w:t xml:space="preserve">NOTE: </w:t>
      </w:r>
      <w:r w:rsidR="007E3E6A">
        <w:t xml:space="preserve">Safety and efficacy of testosterone products in patients with </w:t>
      </w:r>
      <w:r w:rsidR="00004C55">
        <w:t>“</w:t>
      </w:r>
      <w:r w:rsidR="007E3E6A">
        <w:t>age-related hypogonadism</w:t>
      </w:r>
      <w:r w:rsidR="00004C55">
        <w:t>”</w:t>
      </w:r>
      <w:r w:rsidR="007E3E6A">
        <w:t xml:space="preserve"> (also referred to as </w:t>
      </w:r>
      <w:r w:rsidR="00004C55">
        <w:t>“</w:t>
      </w:r>
      <w:r w:rsidR="007E3E6A">
        <w:t>late-onset hypogonadism</w:t>
      </w:r>
      <w:r w:rsidR="00004C55">
        <w:t>”</w:t>
      </w:r>
      <w:r w:rsidR="007E3E6A">
        <w:t>) have not been established.]</w:t>
      </w:r>
    </w:p>
    <w:p w14:paraId="19C725C1" w14:textId="758E4C6C" w:rsidR="00CD1E43" w:rsidRPr="0024535B" w:rsidRDefault="003B4F58" w:rsidP="00BC0B86">
      <w:pPr>
        <w:pStyle w:val="ListParagraph"/>
        <w:numPr>
          <w:ilvl w:val="0"/>
          <w:numId w:val="34"/>
        </w:numPr>
      </w:pPr>
      <w:r w:rsidRPr="0024535B">
        <w:t xml:space="preserve">The request is for intramuscular testosterone enanthate injection (generic </w:t>
      </w:r>
      <w:proofErr w:type="spellStart"/>
      <w:r w:rsidRPr="0024535B">
        <w:t>Delatestryl</w:t>
      </w:r>
      <w:proofErr w:type="spellEnd"/>
      <w:r w:rsidRPr="0024535B">
        <w:t>)</w:t>
      </w:r>
      <w:r w:rsidR="007E3E6A">
        <w:t>.</w:t>
      </w:r>
    </w:p>
    <w:p w14:paraId="28F3F1AD" w14:textId="279AC6A6" w:rsidR="00E64D0A" w:rsidRPr="0024535B" w:rsidRDefault="00FF5D17" w:rsidP="00E64D0A">
      <w:pPr>
        <w:pStyle w:val="Heading3"/>
      </w:pPr>
      <w:r w:rsidRPr="0024535B">
        <w:t>Primary or Hypogonadotropic Hypogonadism</w:t>
      </w:r>
    </w:p>
    <w:p w14:paraId="318B3F45" w14:textId="39533657" w:rsidR="00E64D0A" w:rsidRPr="0024535B" w:rsidRDefault="00C36C48" w:rsidP="00E64D0A">
      <w:pPr>
        <w:pStyle w:val="BodyText"/>
      </w:pPr>
      <w:r w:rsidRPr="0024535B">
        <w:t xml:space="preserve">Authorization may be granted when the requested drug is being prescribed for primary or hypogonadotropic hypogonadism </w:t>
      </w:r>
      <w:r w:rsidR="00DF0724">
        <w:t>when</w:t>
      </w:r>
      <w:r w:rsidRPr="0024535B">
        <w:t xml:space="preserve"> ALL of the following criteria are met:</w:t>
      </w:r>
    </w:p>
    <w:p w14:paraId="705DA264" w14:textId="49712CA7" w:rsidR="00F03046" w:rsidRPr="0024535B" w:rsidRDefault="00F03046" w:rsidP="00BC0B86">
      <w:pPr>
        <w:pStyle w:val="ListParagraph"/>
        <w:numPr>
          <w:ilvl w:val="0"/>
          <w:numId w:val="35"/>
        </w:numPr>
      </w:pPr>
      <w:r w:rsidRPr="0024535B">
        <w:t>The requested drug is NOT being prescribed for age-related hypogonadism (also referred to as late-onset hypogonadism)</w:t>
      </w:r>
      <w:r w:rsidR="00DF0724">
        <w:t>. [</w:t>
      </w:r>
      <w:r w:rsidR="007A76F7">
        <w:t xml:space="preserve">NOTE: </w:t>
      </w:r>
      <w:r w:rsidR="00DF0724">
        <w:t xml:space="preserve">Safety and efficacy of testosterone products in patients with </w:t>
      </w:r>
      <w:r w:rsidR="00004C55">
        <w:t>“</w:t>
      </w:r>
      <w:r w:rsidR="00DF0724">
        <w:t>age-related hypogonadism</w:t>
      </w:r>
      <w:r w:rsidR="00004C55">
        <w:t>”</w:t>
      </w:r>
      <w:r w:rsidR="00DF0724">
        <w:t xml:space="preserve"> (also referred to as </w:t>
      </w:r>
      <w:r w:rsidR="00004C55">
        <w:t>“</w:t>
      </w:r>
      <w:r w:rsidR="00DF0724">
        <w:t>late-onset hypogonadism</w:t>
      </w:r>
      <w:r w:rsidR="00004C55">
        <w:t>”</w:t>
      </w:r>
      <w:r w:rsidR="00DF0724">
        <w:t>) have not been established.]</w:t>
      </w:r>
    </w:p>
    <w:p w14:paraId="175E7ADC" w14:textId="2CD8449D" w:rsidR="00E64D0A" w:rsidRPr="0024535B" w:rsidRDefault="00F03046" w:rsidP="00BC0B86">
      <w:pPr>
        <w:pStyle w:val="ListParagraph"/>
        <w:numPr>
          <w:ilvl w:val="0"/>
          <w:numId w:val="35"/>
        </w:numPr>
      </w:pPr>
      <w:r w:rsidRPr="0024535B">
        <w:t>Before the start of testosterone therapy, the patient has at least TWO confirmed low morning testosterone levels according to current practice guidelines or your standard lab reference values</w:t>
      </w:r>
      <w:r w:rsidR="00DF0724">
        <w:t>.</w:t>
      </w:r>
    </w:p>
    <w:p w14:paraId="3A643EC3" w14:textId="724D5D36" w:rsidR="00A501AC" w:rsidRPr="0024535B" w:rsidRDefault="00A501AC" w:rsidP="00A501AC">
      <w:pPr>
        <w:pStyle w:val="Heading2"/>
      </w:pPr>
      <w:r w:rsidRPr="0024535B">
        <w:t>Continuation of Therapy</w:t>
      </w:r>
    </w:p>
    <w:p w14:paraId="53570B3D" w14:textId="32D3839C" w:rsidR="00A501AC" w:rsidRPr="0024535B" w:rsidRDefault="00861D34" w:rsidP="00A501AC">
      <w:pPr>
        <w:pStyle w:val="Heading3"/>
      </w:pPr>
      <w:r w:rsidRPr="0024535B">
        <w:t>Breast Cancer (Hormone-Responsive Tumor), Delayed Puberty, Inoperable Metastatic Breast Cancer</w:t>
      </w:r>
    </w:p>
    <w:p w14:paraId="4D56F9A0" w14:textId="48586BA4" w:rsidR="00A501AC" w:rsidRPr="0024535B" w:rsidRDefault="00667166" w:rsidP="00A501AC">
      <w:pPr>
        <w:pStyle w:val="BodyText"/>
      </w:pPr>
      <w:r w:rsidRPr="0024535B">
        <w:t xml:space="preserve">All patients (including new patients) requesting authorization for continuation of therapy must meet </w:t>
      </w:r>
      <w:r w:rsidR="00B05320">
        <w:t>all requirements in the coverage</w:t>
      </w:r>
      <w:r w:rsidRPr="0024535B">
        <w:t xml:space="preserve"> criteria</w:t>
      </w:r>
      <w:r w:rsidR="00B05320">
        <w:t xml:space="preserve"> section</w:t>
      </w:r>
      <w:r w:rsidR="00E83E55" w:rsidRPr="0024535B">
        <w:t>.</w:t>
      </w:r>
    </w:p>
    <w:p w14:paraId="1CB3607E" w14:textId="7A8CEC4F" w:rsidR="00A501AC" w:rsidRPr="0024535B" w:rsidRDefault="00520376" w:rsidP="00A501AC">
      <w:pPr>
        <w:pStyle w:val="Heading3"/>
      </w:pPr>
      <w:r w:rsidRPr="0024535B">
        <w:t>Primary or Hypogonadotropic Hypogonadism</w:t>
      </w:r>
    </w:p>
    <w:p w14:paraId="288994CC" w14:textId="032649B9" w:rsidR="00A501AC" w:rsidRPr="0024535B" w:rsidRDefault="003F03ED" w:rsidP="00A501AC">
      <w:pPr>
        <w:pStyle w:val="BodyText"/>
      </w:pPr>
      <w:r w:rsidRPr="0024535B">
        <w:t xml:space="preserve">Authorization may be granted when the requested drug is being prescribed for primary or hypogonadotropic hypogonadism </w:t>
      </w:r>
      <w:r w:rsidR="00B05320">
        <w:t>when</w:t>
      </w:r>
      <w:r w:rsidRPr="0024535B">
        <w:t xml:space="preserve"> ALL of the following criteria are met:</w:t>
      </w:r>
    </w:p>
    <w:p w14:paraId="5C626CB0" w14:textId="5939143D" w:rsidR="003A639A" w:rsidRPr="0024535B" w:rsidRDefault="003A639A" w:rsidP="00BC0B86">
      <w:pPr>
        <w:pStyle w:val="ListParagraph"/>
        <w:numPr>
          <w:ilvl w:val="0"/>
          <w:numId w:val="36"/>
        </w:numPr>
      </w:pPr>
      <w:r w:rsidRPr="0024535B">
        <w:t>The requested drug is NOT being prescribed for age-related hypogonadism (also referred to as late-onset hypogonadism)</w:t>
      </w:r>
      <w:r w:rsidR="00156661">
        <w:t>. [</w:t>
      </w:r>
      <w:r w:rsidR="007A76F7">
        <w:t xml:space="preserve">NOTE: </w:t>
      </w:r>
      <w:r w:rsidR="00156661">
        <w:t xml:space="preserve">Safety and efficacy of testosterone products in patients with </w:t>
      </w:r>
      <w:r w:rsidR="00004C55">
        <w:t>“</w:t>
      </w:r>
      <w:r w:rsidR="00156661">
        <w:t>age-related hypogonadism</w:t>
      </w:r>
      <w:r w:rsidR="00004C55">
        <w:t>”</w:t>
      </w:r>
      <w:r w:rsidR="00156661">
        <w:t xml:space="preserve"> (also referred to as </w:t>
      </w:r>
      <w:r w:rsidR="00004C55">
        <w:t>“</w:t>
      </w:r>
      <w:r w:rsidR="00156661">
        <w:t>late-onset hypogonadism</w:t>
      </w:r>
      <w:r w:rsidR="00004C55">
        <w:t>”</w:t>
      </w:r>
      <w:r w:rsidR="00156661">
        <w:t>) have not been established.]</w:t>
      </w:r>
    </w:p>
    <w:p w14:paraId="1D8D1D94" w14:textId="4D3CBDE3" w:rsidR="003F03ED" w:rsidRDefault="003A639A" w:rsidP="00BC0B86">
      <w:pPr>
        <w:pStyle w:val="ListParagraph"/>
        <w:numPr>
          <w:ilvl w:val="0"/>
          <w:numId w:val="36"/>
        </w:numPr>
      </w:pPr>
      <w:r w:rsidRPr="0024535B">
        <w:t>Before the patient started testosterone therapy, the patient had a confirmed low morning testosterone level according to current practice guidelines or your standard lab reference values</w:t>
      </w:r>
      <w:r w:rsidR="00156661">
        <w:t>.</w:t>
      </w:r>
    </w:p>
    <w:p w14:paraId="5C4E30CD" w14:textId="32C4051D" w:rsidR="00026803" w:rsidRPr="00186277" w:rsidRDefault="00374A96" w:rsidP="00493353">
      <w:pPr>
        <w:pStyle w:val="Heading2"/>
      </w:pPr>
      <w:r w:rsidRPr="00186277">
        <w:t xml:space="preserve">Duration </w:t>
      </w:r>
      <w:r w:rsidR="00BC0B86" w:rsidRPr="00186277">
        <w:t>o</w:t>
      </w:r>
      <w:r w:rsidRPr="00186277">
        <w:t>f Approval (DOA)</w:t>
      </w:r>
    </w:p>
    <w:p w14:paraId="183C4077" w14:textId="635A1E91" w:rsidR="00C27D3E" w:rsidRPr="0024535B" w:rsidRDefault="00980D19" w:rsidP="007337CD">
      <w:pPr>
        <w:pStyle w:val="ListParagraph"/>
        <w:numPr>
          <w:ilvl w:val="0"/>
          <w:numId w:val="37"/>
        </w:numPr>
        <w:spacing w:after="0"/>
      </w:pPr>
      <w:r w:rsidRPr="0024535B">
        <w:t>1368-A: DOA: 12 months</w:t>
      </w:r>
    </w:p>
    <w:p w14:paraId="0A275F8B" w14:textId="4F7EEE73" w:rsidR="000E0438" w:rsidRPr="00186277" w:rsidRDefault="000E0438" w:rsidP="00186277">
      <w:pPr>
        <w:pStyle w:val="Heading2"/>
      </w:pPr>
      <w:bookmarkStart w:id="1" w:name="S2.2"/>
      <w:bookmarkStart w:id="2" w:name="section-2.2"/>
      <w:bookmarkStart w:id="3" w:name="section-2.2.1"/>
      <w:bookmarkStart w:id="4" w:name="section-2.2.2"/>
      <w:bookmarkEnd w:id="1"/>
      <w:bookmarkEnd w:id="2"/>
      <w:bookmarkEnd w:id="3"/>
      <w:bookmarkEnd w:id="4"/>
      <w:r w:rsidRPr="00186277">
        <w:t>References</w:t>
      </w:r>
    </w:p>
    <w:p w14:paraId="15AF0747" w14:textId="7B0BEE10" w:rsidR="00297953" w:rsidRPr="0024535B" w:rsidRDefault="00297953" w:rsidP="00297953">
      <w:pPr>
        <w:pStyle w:val="ReferenceOrdered"/>
      </w:pPr>
      <w:r w:rsidRPr="0024535B">
        <w:t xml:space="preserve">Testosterone Enanthate [package insert]. </w:t>
      </w:r>
      <w:r w:rsidR="00F12B01">
        <w:t>E. Windsor</w:t>
      </w:r>
      <w:r w:rsidRPr="0024535B">
        <w:t xml:space="preserve">, NJ: </w:t>
      </w:r>
      <w:proofErr w:type="spellStart"/>
      <w:r w:rsidR="00F12B01">
        <w:t>Eugia</w:t>
      </w:r>
      <w:proofErr w:type="spellEnd"/>
      <w:r w:rsidR="00F12B01">
        <w:t xml:space="preserve"> US LLC</w:t>
      </w:r>
      <w:r w:rsidRPr="0024535B">
        <w:t xml:space="preserve">; </w:t>
      </w:r>
      <w:r w:rsidR="00F12B01">
        <w:t>Febr</w:t>
      </w:r>
      <w:r w:rsidRPr="0024535B">
        <w:t>uary 202</w:t>
      </w:r>
      <w:r w:rsidR="00F12B01">
        <w:t>4</w:t>
      </w:r>
      <w:r w:rsidRPr="0024535B">
        <w:t>.</w:t>
      </w:r>
    </w:p>
    <w:p w14:paraId="76B6EBDB" w14:textId="35D79776" w:rsidR="00297953" w:rsidRPr="0024535B" w:rsidRDefault="00297953" w:rsidP="00297953">
      <w:pPr>
        <w:pStyle w:val="ReferenceOrdered"/>
      </w:pPr>
      <w:proofErr w:type="spellStart"/>
      <w:r w:rsidRPr="0024535B">
        <w:t>Xyosted</w:t>
      </w:r>
      <w:proofErr w:type="spellEnd"/>
      <w:r w:rsidRPr="0024535B">
        <w:t xml:space="preserve"> [package insert]. Ewing, NJ: Antares Pharma, Inc; </w:t>
      </w:r>
      <w:r w:rsidR="00F12B01">
        <w:t>August</w:t>
      </w:r>
      <w:r w:rsidRPr="0024535B">
        <w:t xml:space="preserve"> 20</w:t>
      </w:r>
      <w:r w:rsidR="00F12B01">
        <w:t>23</w:t>
      </w:r>
      <w:r w:rsidRPr="0024535B">
        <w:t>.</w:t>
      </w:r>
    </w:p>
    <w:p w14:paraId="6283322F" w14:textId="659EE643" w:rsidR="00297953" w:rsidRPr="0024535B" w:rsidRDefault="00297953" w:rsidP="00297953">
      <w:pPr>
        <w:pStyle w:val="ReferenceOrdered"/>
      </w:pPr>
      <w:r w:rsidRPr="0024535B">
        <w:t>Lexicomp Online, AHFS DI (Adult and Pediatric) Online. Waltham, MA: UpToDate, Inc.; 202</w:t>
      </w:r>
      <w:r w:rsidR="00F12B01">
        <w:t>5</w:t>
      </w:r>
      <w:r w:rsidRPr="0024535B">
        <w:t xml:space="preserve">. https://online.lexi.com. Accessed </w:t>
      </w:r>
      <w:r w:rsidR="00F12B01">
        <w:t>Febr</w:t>
      </w:r>
      <w:r w:rsidRPr="0024535B">
        <w:t xml:space="preserve">uary </w:t>
      </w:r>
      <w:r w:rsidR="00F12B01">
        <w:t>3</w:t>
      </w:r>
      <w:r w:rsidRPr="0024535B">
        <w:t>, 202</w:t>
      </w:r>
      <w:r w:rsidR="00F12B01">
        <w:t>5</w:t>
      </w:r>
      <w:r w:rsidRPr="0024535B">
        <w:t>.</w:t>
      </w:r>
    </w:p>
    <w:p w14:paraId="5E291834" w14:textId="4121BFAE" w:rsidR="00297953" w:rsidRPr="0024535B" w:rsidRDefault="00297953" w:rsidP="00297953">
      <w:pPr>
        <w:pStyle w:val="ReferenceOrdered"/>
      </w:pPr>
      <w:r w:rsidRPr="0024535B">
        <w:t>Lexicomp Online, Lexi-Drugs Online. Waltham, MA: UpToDate, Inc.; 202</w:t>
      </w:r>
      <w:r w:rsidR="00F12B01">
        <w:t>5</w:t>
      </w:r>
      <w:r w:rsidRPr="0024535B">
        <w:t xml:space="preserve">. https://online.lexi.com. Accessed </w:t>
      </w:r>
      <w:r w:rsidR="00F12B01">
        <w:t>Febr</w:t>
      </w:r>
      <w:r w:rsidRPr="0024535B">
        <w:t xml:space="preserve">uary </w:t>
      </w:r>
      <w:r w:rsidR="00F12B01">
        <w:t>3</w:t>
      </w:r>
      <w:r w:rsidRPr="0024535B">
        <w:t>, 202</w:t>
      </w:r>
      <w:r w:rsidR="00F12B01">
        <w:t>5</w:t>
      </w:r>
      <w:r w:rsidRPr="0024535B">
        <w:t>.</w:t>
      </w:r>
    </w:p>
    <w:p w14:paraId="699268A4" w14:textId="12393A4C" w:rsidR="00297953" w:rsidRPr="0024535B" w:rsidRDefault="00297953" w:rsidP="00297953">
      <w:pPr>
        <w:pStyle w:val="ReferenceOrdered"/>
      </w:pPr>
      <w:r w:rsidRPr="0024535B">
        <w:t>Micromedex</w:t>
      </w:r>
      <w:r w:rsidR="00F12B01">
        <w:t>®</w:t>
      </w:r>
      <w:r w:rsidRPr="0024535B">
        <w:t xml:space="preserve"> (electronic version). </w:t>
      </w:r>
      <w:proofErr w:type="spellStart"/>
      <w:r w:rsidRPr="0024535B">
        <w:t>Merative</w:t>
      </w:r>
      <w:proofErr w:type="spellEnd"/>
      <w:r w:rsidRPr="0024535B">
        <w:t>, Ann Arbor, Michigan, USA. Available at: https://www.micromedexsolutions.com/ (cited: 0</w:t>
      </w:r>
      <w:r w:rsidR="00F12B01">
        <w:t>2</w:t>
      </w:r>
      <w:r w:rsidRPr="0024535B">
        <w:t>/</w:t>
      </w:r>
      <w:r w:rsidR="00F12B01">
        <w:t>03</w:t>
      </w:r>
      <w:r w:rsidRPr="0024535B">
        <w:t>/202</w:t>
      </w:r>
      <w:r w:rsidR="00F12B01">
        <w:t>5</w:t>
      </w:r>
      <w:r w:rsidRPr="0024535B">
        <w:t>).</w:t>
      </w:r>
    </w:p>
    <w:p w14:paraId="30C54F0B" w14:textId="77777777" w:rsidR="00297953" w:rsidRPr="0024535B" w:rsidRDefault="00297953" w:rsidP="00297953">
      <w:pPr>
        <w:pStyle w:val="ReferenceOrdered"/>
      </w:pPr>
      <w:r w:rsidRPr="0024535B">
        <w:t>Bhasin S, Brito JP, Cunningham GR, et al. Testosterone Therapy in Men with Hypogonadism: An Endocrine Society Clinical Practice Guideline. J Clin Endocrinol Metab. 2018;103(5):1715-1744.</w:t>
      </w:r>
    </w:p>
    <w:p w14:paraId="1C762F51" w14:textId="77777777" w:rsidR="00297953" w:rsidRPr="0024535B" w:rsidRDefault="00297953" w:rsidP="00297953">
      <w:pPr>
        <w:pStyle w:val="ReferenceOrdered"/>
      </w:pPr>
      <w:r w:rsidRPr="0024535B">
        <w:rPr>
          <w:lang w:val="fr-FR"/>
        </w:rPr>
        <w:t xml:space="preserve">Coleman E, </w:t>
      </w:r>
      <w:proofErr w:type="spellStart"/>
      <w:r w:rsidRPr="0024535B">
        <w:rPr>
          <w:lang w:val="fr-FR"/>
        </w:rPr>
        <w:t>Radix</w:t>
      </w:r>
      <w:proofErr w:type="spellEnd"/>
      <w:r w:rsidRPr="0024535B">
        <w:rPr>
          <w:lang w:val="fr-FR"/>
        </w:rPr>
        <w:t xml:space="preserve"> AE, </w:t>
      </w:r>
      <w:proofErr w:type="spellStart"/>
      <w:r w:rsidRPr="0024535B">
        <w:rPr>
          <w:lang w:val="fr-FR"/>
        </w:rPr>
        <w:t>Bouman</w:t>
      </w:r>
      <w:proofErr w:type="spellEnd"/>
      <w:r w:rsidRPr="0024535B">
        <w:rPr>
          <w:lang w:val="fr-FR"/>
        </w:rPr>
        <w:t xml:space="preserve"> WP, et al. </w:t>
      </w:r>
      <w:r w:rsidRPr="0024535B">
        <w:t xml:space="preserve">Standards of Care for the Health of Transgender and Gender Diverse People, Version 8. Int J </w:t>
      </w:r>
      <w:proofErr w:type="spellStart"/>
      <w:r w:rsidRPr="0024535B">
        <w:t>Transgend</w:t>
      </w:r>
      <w:proofErr w:type="spellEnd"/>
      <w:r w:rsidRPr="0024535B">
        <w:t xml:space="preserve"> Health. 2022;23(S1):S1-S258.</w:t>
      </w:r>
    </w:p>
    <w:p w14:paraId="7D01F37D" w14:textId="77777777" w:rsidR="00297953" w:rsidRPr="0024535B" w:rsidRDefault="00297953" w:rsidP="00297953">
      <w:pPr>
        <w:pStyle w:val="ReferenceOrdered"/>
      </w:pPr>
      <w:proofErr w:type="spellStart"/>
      <w:r w:rsidRPr="0024535B">
        <w:t>Hembree</w:t>
      </w:r>
      <w:proofErr w:type="spellEnd"/>
      <w:r w:rsidRPr="0024535B">
        <w:t xml:space="preserve"> WC, Cohen-</w:t>
      </w:r>
      <w:proofErr w:type="spellStart"/>
      <w:r w:rsidRPr="0024535B">
        <w:t>Kettenis</w:t>
      </w:r>
      <w:proofErr w:type="spellEnd"/>
      <w:r w:rsidRPr="0024535B">
        <w:t xml:space="preserve"> PT, </w:t>
      </w:r>
      <w:proofErr w:type="spellStart"/>
      <w:r w:rsidRPr="0024535B">
        <w:t>Gooren</w:t>
      </w:r>
      <w:proofErr w:type="spellEnd"/>
      <w:r w:rsidRPr="0024535B">
        <w:t xml:space="preserve"> L, et al. Endocrine Treatment of Gender Dysphoric/Gender-Incongruent Persons: An Endocrine Society Clinical Practice Guideline. J Clin Endocrinol Metab. 2017;102(11):3869-3903.</w:t>
      </w:r>
    </w:p>
    <w:p w14:paraId="62AEB04C" w14:textId="17FA5735" w:rsidR="000E0438" w:rsidRPr="0024535B" w:rsidRDefault="00297953" w:rsidP="00297953">
      <w:pPr>
        <w:pStyle w:val="ReferenceOrdered"/>
      </w:pPr>
      <w:r w:rsidRPr="0024535B">
        <w:t xml:space="preserve">Health Care for Transgender and Gender Diverse Individuals. ACOG Committee Opinion No. 823. American College of Obstetricians and Gynecologists. </w:t>
      </w:r>
      <w:proofErr w:type="spellStart"/>
      <w:r w:rsidRPr="0024535B">
        <w:t>Obstet</w:t>
      </w:r>
      <w:proofErr w:type="spellEnd"/>
      <w:r w:rsidRPr="0024535B">
        <w:t xml:space="preserve"> Gynecol. 2021;137:e75-88</w:t>
      </w:r>
      <w:r w:rsidR="00BC0B86" w:rsidRPr="0024535B">
        <w:t>.</w:t>
      </w:r>
    </w:p>
    <w:sectPr w:rsidR="000E0438" w:rsidRPr="0024535B" w:rsidSect="00E56EB4">
      <w:headerReference w:type="first" r:id="rId15"/>
      <w:footerReference w:type="first" r:id="rId16"/>
      <w:type w:val="continuous"/>
      <w:pgSz w:w="12240" w:h="15840" w:code="1"/>
      <w:pgMar w:top="902" w:right="720" w:bottom="851" w:left="720"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A56F2" w14:textId="77777777" w:rsidR="00853744" w:rsidRDefault="00853744">
      <w:r>
        <w:separator/>
      </w:r>
    </w:p>
  </w:endnote>
  <w:endnote w:type="continuationSeparator" w:id="0">
    <w:p w14:paraId="3836D4F3" w14:textId="77777777" w:rsidR="00853744" w:rsidRDefault="00853744">
      <w:r>
        <w:continuationSeparator/>
      </w:r>
    </w:p>
  </w:endnote>
  <w:endnote w:type="continuationNotice" w:id="1">
    <w:p w14:paraId="1537FD3B" w14:textId="77777777" w:rsidR="00853744" w:rsidRDefault="00853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A334" w14:textId="35BF12F2" w:rsidR="002E06BB" w:rsidRPr="00EC47B6" w:rsidRDefault="002E06BB" w:rsidP="002E06BB">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4535B">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F82D2C">
      <w:rPr>
        <w:rFonts w:cs="Arial"/>
        <w:noProof/>
        <w:snapToGrid w:val="0"/>
        <w:color w:val="000000"/>
        <w:sz w:val="16"/>
        <w:szCs w:val="16"/>
        <w:lang w:val="it-IT"/>
      </w:rPr>
      <w:t>Testosterone -</w:t>
    </w:r>
    <w:r w:rsidR="00F82D2C" w:rsidRPr="00F82D2C">
      <w:rPr>
        <w:rFonts w:cs="Arial"/>
        <w:noProof/>
        <w:sz w:val="16"/>
        <w:szCs w:val="16"/>
        <w:lang w:val="it-IT"/>
      </w:rPr>
      <w:t xml:space="preserve"> Testosterone</w:t>
    </w:r>
    <w:r w:rsidR="00F82D2C">
      <w:rPr>
        <w:rFonts w:cs="Arial"/>
        <w:noProof/>
        <w:snapToGrid w:val="0"/>
        <w:color w:val="000000"/>
        <w:sz w:val="16"/>
        <w:szCs w:val="16"/>
        <w:lang w:val="it-IT"/>
      </w:rPr>
      <w:t xml:space="preserve"> Enanthate TGC PA 1368-A P03-2025.docx</w:t>
    </w:r>
    <w:r w:rsidRPr="00EC47B6">
      <w:rPr>
        <w:rFonts w:cs="Arial"/>
        <w:noProof/>
        <w:sz w:val="16"/>
        <w:szCs w:val="16"/>
      </w:rPr>
      <w:fldChar w:fldCharType="end"/>
    </w:r>
    <w:r w:rsidRPr="0024535B">
      <w:rPr>
        <w:rFonts w:cs="Arial"/>
        <w:snapToGrid w:val="0"/>
        <w:color w:val="000000"/>
        <w:sz w:val="16"/>
        <w:lang w:val="it-IT"/>
      </w:rPr>
      <w:tab/>
      <w:t>© 202</w:t>
    </w:r>
    <w:r w:rsidR="00BA6881">
      <w:rPr>
        <w:rFonts w:cs="Arial"/>
        <w:snapToGrid w:val="0"/>
        <w:color w:val="000000"/>
        <w:sz w:val="16"/>
        <w:lang w:val="it-IT"/>
      </w:rPr>
      <w:t>5</w:t>
    </w:r>
    <w:r w:rsidRPr="0024535B">
      <w:rPr>
        <w:rFonts w:cs="Arial"/>
        <w:snapToGrid w:val="0"/>
        <w:color w:val="000000"/>
        <w:sz w:val="16"/>
        <w:lang w:val="it-IT"/>
      </w:rPr>
      <w:t xml:space="preserve"> CVS Caremark. </w:t>
    </w:r>
    <w:r w:rsidRPr="00EC47B6">
      <w:rPr>
        <w:rFonts w:cs="Arial"/>
        <w:snapToGrid w:val="0"/>
        <w:color w:val="000000"/>
        <w:sz w:val="16"/>
      </w:rPr>
      <w:t>All rights reserved.</w:t>
    </w:r>
  </w:p>
  <w:p w14:paraId="0843B183" w14:textId="77777777" w:rsidR="002E06BB" w:rsidRPr="00EC47B6" w:rsidRDefault="002E06BB" w:rsidP="002E06BB">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61159A2" w14:textId="19DBE96D" w:rsidR="0024535B" w:rsidRPr="00F50D98" w:rsidRDefault="002E06BB" w:rsidP="00DE46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729B" w14:textId="642077BE" w:rsidR="0024535B" w:rsidRPr="00EC47B6" w:rsidRDefault="0024535B" w:rsidP="0024535B">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4535B">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F82D2C">
      <w:rPr>
        <w:rFonts w:cs="Arial"/>
        <w:noProof/>
        <w:snapToGrid w:val="0"/>
        <w:color w:val="000000"/>
        <w:sz w:val="16"/>
        <w:szCs w:val="16"/>
        <w:lang w:val="it-IT"/>
      </w:rPr>
      <w:t>Testosterone -</w:t>
    </w:r>
    <w:r w:rsidR="00F82D2C" w:rsidRPr="00F82D2C">
      <w:rPr>
        <w:rFonts w:cs="Arial"/>
        <w:noProof/>
        <w:sz w:val="16"/>
        <w:szCs w:val="16"/>
        <w:lang w:val="it-IT"/>
      </w:rPr>
      <w:t xml:space="preserve"> Testosterone</w:t>
    </w:r>
    <w:r w:rsidR="00F82D2C">
      <w:rPr>
        <w:rFonts w:cs="Arial"/>
        <w:noProof/>
        <w:snapToGrid w:val="0"/>
        <w:color w:val="000000"/>
        <w:sz w:val="16"/>
        <w:szCs w:val="16"/>
        <w:lang w:val="it-IT"/>
      </w:rPr>
      <w:t xml:space="preserve"> Enanthate TGC PA 1368-A P03-2025.docx</w:t>
    </w:r>
    <w:r w:rsidRPr="00EC47B6">
      <w:rPr>
        <w:rFonts w:cs="Arial"/>
        <w:noProof/>
        <w:sz w:val="16"/>
        <w:szCs w:val="16"/>
      </w:rPr>
      <w:fldChar w:fldCharType="end"/>
    </w:r>
    <w:r w:rsidRPr="0024535B">
      <w:rPr>
        <w:rFonts w:cs="Arial"/>
        <w:snapToGrid w:val="0"/>
        <w:color w:val="000000"/>
        <w:sz w:val="16"/>
        <w:lang w:val="it-IT"/>
      </w:rPr>
      <w:tab/>
      <w:t>© 202</w:t>
    </w:r>
    <w:r w:rsidR="00BA6881">
      <w:rPr>
        <w:rFonts w:cs="Arial"/>
        <w:snapToGrid w:val="0"/>
        <w:color w:val="000000"/>
        <w:sz w:val="16"/>
        <w:lang w:val="it-IT"/>
      </w:rPr>
      <w:t>5</w:t>
    </w:r>
    <w:r w:rsidRPr="0024535B">
      <w:rPr>
        <w:rFonts w:cs="Arial"/>
        <w:snapToGrid w:val="0"/>
        <w:color w:val="000000"/>
        <w:sz w:val="16"/>
        <w:lang w:val="it-IT"/>
      </w:rPr>
      <w:t xml:space="preserve"> CVS Caremark. </w:t>
    </w:r>
    <w:r w:rsidRPr="00EC47B6">
      <w:rPr>
        <w:rFonts w:cs="Arial"/>
        <w:snapToGrid w:val="0"/>
        <w:color w:val="000000"/>
        <w:sz w:val="16"/>
      </w:rPr>
      <w:t>All rights reserved.</w:t>
    </w:r>
  </w:p>
  <w:p w14:paraId="01C66D38" w14:textId="35B2ED97" w:rsidR="0024535B" w:rsidRPr="00EC47B6" w:rsidRDefault="0024535B" w:rsidP="0024535B">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8002B6C" w14:textId="08D69694" w:rsidR="0024535B" w:rsidRPr="00F50D98" w:rsidRDefault="0024535B" w:rsidP="00DE46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04DA" w14:textId="403846CB" w:rsidR="007337CD" w:rsidRPr="007337CD" w:rsidRDefault="007337CD" w:rsidP="00733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4D9B1" w14:textId="77777777" w:rsidR="00853744" w:rsidRDefault="00853744">
      <w:r>
        <w:separator/>
      </w:r>
    </w:p>
  </w:footnote>
  <w:footnote w:type="continuationSeparator" w:id="0">
    <w:p w14:paraId="2DA00AF3" w14:textId="77777777" w:rsidR="00853744" w:rsidRDefault="00853744">
      <w:r>
        <w:continuationSeparator/>
      </w:r>
    </w:p>
  </w:footnote>
  <w:footnote w:type="continuationNotice" w:id="1">
    <w:p w14:paraId="38616961" w14:textId="77777777" w:rsidR="00853744" w:rsidRDefault="00853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24535B" w:rsidRDefault="00ED04EC" w:rsidP="00ED04EC">
          <w:pPr>
            <w:pStyle w:val="Header"/>
            <w:rPr>
              <w:rFonts w:cs="Arial"/>
              <w:sz w:val="16"/>
              <w:szCs w:val="16"/>
            </w:rPr>
          </w:pPr>
          <w:r w:rsidRPr="0024535B">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F7904EC" w:rsidR="00ED04EC" w:rsidRPr="0024535B" w:rsidRDefault="00111879" w:rsidP="00ED04EC">
          <w:pPr>
            <w:pStyle w:val="Header"/>
            <w:rPr>
              <w:rFonts w:cs="Arial"/>
              <w:sz w:val="16"/>
              <w:szCs w:val="16"/>
            </w:rPr>
          </w:pPr>
          <w:r w:rsidRPr="0024535B">
            <w:rPr>
              <w:rFonts w:cs="Arial"/>
              <w:sz w:val="16"/>
              <w:szCs w:val="16"/>
            </w:rPr>
            <w:t>1368</w:t>
          </w:r>
          <w:r w:rsidR="003D5B26" w:rsidRPr="0024535B">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337CD" w:rsidRPr="00ED04EC" w14:paraId="6C0D697D" w14:textId="77777777" w:rsidTr="00384E1E">
      <w:trPr>
        <w:trHeight w:val="144"/>
        <w:jc w:val="right"/>
      </w:trPr>
      <w:tc>
        <w:tcPr>
          <w:tcW w:w="1854" w:type="dxa"/>
          <w:hideMark/>
        </w:tcPr>
        <w:p w14:paraId="142BB6B8" w14:textId="77777777" w:rsidR="007337CD" w:rsidRPr="0024535B" w:rsidRDefault="007337CD" w:rsidP="007337CD">
          <w:pPr>
            <w:pStyle w:val="Header"/>
            <w:rPr>
              <w:rFonts w:cs="Arial"/>
              <w:sz w:val="16"/>
              <w:szCs w:val="16"/>
            </w:rPr>
          </w:pPr>
          <w:r w:rsidRPr="0024535B">
            <w:rPr>
              <w:rFonts w:cs="Arial"/>
              <w:sz w:val="16"/>
              <w:szCs w:val="16"/>
            </w:rPr>
            <w:t>Reference number(s)</w:t>
          </w:r>
        </w:p>
      </w:tc>
    </w:tr>
    <w:tr w:rsidR="007337CD" w:rsidRPr="00ED04EC" w14:paraId="3B9165CA" w14:textId="77777777" w:rsidTr="00384E1E">
      <w:trPr>
        <w:trHeight w:val="378"/>
        <w:jc w:val="right"/>
      </w:trPr>
      <w:tc>
        <w:tcPr>
          <w:tcW w:w="1854" w:type="dxa"/>
          <w:hideMark/>
        </w:tcPr>
        <w:p w14:paraId="5994C689" w14:textId="77777777" w:rsidR="007337CD" w:rsidRPr="0024535B" w:rsidRDefault="007337CD" w:rsidP="007337CD">
          <w:pPr>
            <w:pStyle w:val="Header"/>
            <w:rPr>
              <w:rFonts w:cs="Arial"/>
              <w:sz w:val="16"/>
              <w:szCs w:val="16"/>
            </w:rPr>
          </w:pPr>
          <w:r w:rsidRPr="0024535B">
            <w:rPr>
              <w:rFonts w:cs="Arial"/>
              <w:sz w:val="16"/>
              <w:szCs w:val="16"/>
            </w:rPr>
            <w:t>1368-A</w:t>
          </w:r>
        </w:p>
      </w:tc>
    </w:tr>
  </w:tbl>
  <w:p w14:paraId="53FABF10" w14:textId="77777777" w:rsidR="007337CD" w:rsidRPr="007337CD" w:rsidRDefault="007337C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5C17F7"/>
    <w:multiLevelType w:val="hybridMultilevel"/>
    <w:tmpl w:val="E43A30A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ECC6A5D"/>
    <w:multiLevelType w:val="hybridMultilevel"/>
    <w:tmpl w:val="05DC1D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0F235EF9"/>
    <w:multiLevelType w:val="hybridMultilevel"/>
    <w:tmpl w:val="97923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8F4137"/>
    <w:multiLevelType w:val="hybridMultilevel"/>
    <w:tmpl w:val="28AE0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4502B9"/>
    <w:multiLevelType w:val="hybridMultilevel"/>
    <w:tmpl w:val="2D3A8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A47D86"/>
    <w:multiLevelType w:val="hybridMultilevel"/>
    <w:tmpl w:val="93328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01074"/>
    <w:multiLevelType w:val="hybridMultilevel"/>
    <w:tmpl w:val="BCFCA61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 w15:restartNumberingAfterBreak="0">
    <w:nsid w:val="497428EE"/>
    <w:multiLevelType w:val="hybridMultilevel"/>
    <w:tmpl w:val="22767A8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9BE34D4"/>
    <w:multiLevelType w:val="hybridMultilevel"/>
    <w:tmpl w:val="B54A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FD1613"/>
    <w:multiLevelType w:val="hybridMultilevel"/>
    <w:tmpl w:val="10EE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41DC3"/>
    <w:multiLevelType w:val="hybridMultilevel"/>
    <w:tmpl w:val="0D7CD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EDF1787"/>
    <w:multiLevelType w:val="hybridMultilevel"/>
    <w:tmpl w:val="A7561ED2"/>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1"/>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2"/>
  </w:num>
  <w:num w:numId="17" w16cid:durableId="2128498676">
    <w:abstractNumId w:val="34"/>
  </w:num>
  <w:num w:numId="18" w16cid:durableId="299724409">
    <w:abstractNumId w:val="28"/>
  </w:num>
  <w:num w:numId="19" w16cid:durableId="214585573">
    <w:abstractNumId w:val="18"/>
  </w:num>
  <w:num w:numId="20" w16cid:durableId="1289816170">
    <w:abstractNumId w:val="19"/>
  </w:num>
  <w:num w:numId="21" w16cid:durableId="1066490929">
    <w:abstractNumId w:val="35"/>
  </w:num>
  <w:num w:numId="22" w16cid:durableId="1472481103">
    <w:abstractNumId w:val="30"/>
  </w:num>
  <w:num w:numId="23" w16cid:durableId="1997420403">
    <w:abstractNumId w:val="32"/>
  </w:num>
  <w:num w:numId="24" w16cid:durableId="33312838">
    <w:abstractNumId w:val="29"/>
  </w:num>
  <w:num w:numId="25" w16cid:durableId="507404939">
    <w:abstractNumId w:val="21"/>
  </w:num>
  <w:num w:numId="26" w16cid:durableId="313145447">
    <w:abstractNumId w:val="12"/>
  </w:num>
  <w:num w:numId="27" w16cid:durableId="1239830658">
    <w:abstractNumId w:val="23"/>
  </w:num>
  <w:num w:numId="28" w16cid:durableId="454376467">
    <w:abstractNumId w:val="27"/>
  </w:num>
  <w:num w:numId="29" w16cid:durableId="1097362259">
    <w:abstractNumId w:val="16"/>
  </w:num>
  <w:num w:numId="30" w16cid:durableId="531964202">
    <w:abstractNumId w:val="33"/>
  </w:num>
  <w:num w:numId="31" w16cid:durableId="948858427">
    <w:abstractNumId w:val="20"/>
  </w:num>
  <w:num w:numId="32" w16cid:durableId="433749223">
    <w:abstractNumId w:val="11"/>
  </w:num>
  <w:num w:numId="33" w16cid:durableId="1409620589">
    <w:abstractNumId w:val="36"/>
  </w:num>
  <w:num w:numId="34" w16cid:durableId="1999647810">
    <w:abstractNumId w:val="24"/>
  </w:num>
  <w:num w:numId="35" w16cid:durableId="1698500368">
    <w:abstractNumId w:val="13"/>
  </w:num>
  <w:num w:numId="36" w16cid:durableId="1740011179">
    <w:abstractNumId w:val="25"/>
  </w:num>
  <w:num w:numId="37" w16cid:durableId="93455312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C55"/>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39CE"/>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B7"/>
    <w:rsid w:val="000311EC"/>
    <w:rsid w:val="000315F1"/>
    <w:rsid w:val="000318EA"/>
    <w:rsid w:val="0003203C"/>
    <w:rsid w:val="00032275"/>
    <w:rsid w:val="00032659"/>
    <w:rsid w:val="00032924"/>
    <w:rsid w:val="00033B3A"/>
    <w:rsid w:val="0003572F"/>
    <w:rsid w:val="00036079"/>
    <w:rsid w:val="00037636"/>
    <w:rsid w:val="00037A95"/>
    <w:rsid w:val="00041D8B"/>
    <w:rsid w:val="0004226E"/>
    <w:rsid w:val="000425B0"/>
    <w:rsid w:val="00043056"/>
    <w:rsid w:val="0004480D"/>
    <w:rsid w:val="00046212"/>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38E"/>
    <w:rsid w:val="00060959"/>
    <w:rsid w:val="000609B8"/>
    <w:rsid w:val="00062816"/>
    <w:rsid w:val="00064347"/>
    <w:rsid w:val="00064396"/>
    <w:rsid w:val="00065AC6"/>
    <w:rsid w:val="00065E0D"/>
    <w:rsid w:val="00066D4B"/>
    <w:rsid w:val="0006765E"/>
    <w:rsid w:val="00067732"/>
    <w:rsid w:val="0006774C"/>
    <w:rsid w:val="00067A74"/>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229"/>
    <w:rsid w:val="00082357"/>
    <w:rsid w:val="00082825"/>
    <w:rsid w:val="00082CE9"/>
    <w:rsid w:val="000837A5"/>
    <w:rsid w:val="00083890"/>
    <w:rsid w:val="00083E63"/>
    <w:rsid w:val="00083FC9"/>
    <w:rsid w:val="00084003"/>
    <w:rsid w:val="00085375"/>
    <w:rsid w:val="00085913"/>
    <w:rsid w:val="00085D37"/>
    <w:rsid w:val="00086953"/>
    <w:rsid w:val="00090142"/>
    <w:rsid w:val="00090C1B"/>
    <w:rsid w:val="000913DE"/>
    <w:rsid w:val="00091E1D"/>
    <w:rsid w:val="00093AB5"/>
    <w:rsid w:val="00094A59"/>
    <w:rsid w:val="00095B9C"/>
    <w:rsid w:val="0009781E"/>
    <w:rsid w:val="00097950"/>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2A1D"/>
    <w:rsid w:val="000B40A1"/>
    <w:rsid w:val="000B57DC"/>
    <w:rsid w:val="000B5871"/>
    <w:rsid w:val="000B5C04"/>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CED"/>
    <w:rsid w:val="000D4EA4"/>
    <w:rsid w:val="000D5101"/>
    <w:rsid w:val="000D5978"/>
    <w:rsid w:val="000D5D4B"/>
    <w:rsid w:val="000E0438"/>
    <w:rsid w:val="000E095D"/>
    <w:rsid w:val="000E0C62"/>
    <w:rsid w:val="000E24FA"/>
    <w:rsid w:val="000E2ECC"/>
    <w:rsid w:val="000E37E4"/>
    <w:rsid w:val="000E3A1B"/>
    <w:rsid w:val="000E3B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0F78A9"/>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879"/>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42"/>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661"/>
    <w:rsid w:val="00156A50"/>
    <w:rsid w:val="00156B77"/>
    <w:rsid w:val="00156E31"/>
    <w:rsid w:val="00160472"/>
    <w:rsid w:val="00162951"/>
    <w:rsid w:val="001630B4"/>
    <w:rsid w:val="00165258"/>
    <w:rsid w:val="00165670"/>
    <w:rsid w:val="00165A99"/>
    <w:rsid w:val="001675AA"/>
    <w:rsid w:val="00170325"/>
    <w:rsid w:val="00173AB9"/>
    <w:rsid w:val="00173C53"/>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41"/>
    <w:rsid w:val="00185C58"/>
    <w:rsid w:val="00186277"/>
    <w:rsid w:val="00186758"/>
    <w:rsid w:val="00186EDA"/>
    <w:rsid w:val="00187BCC"/>
    <w:rsid w:val="00190200"/>
    <w:rsid w:val="001914C8"/>
    <w:rsid w:val="001916D1"/>
    <w:rsid w:val="00191904"/>
    <w:rsid w:val="00192769"/>
    <w:rsid w:val="001933EE"/>
    <w:rsid w:val="00193696"/>
    <w:rsid w:val="00193C85"/>
    <w:rsid w:val="001944B7"/>
    <w:rsid w:val="00196372"/>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196A"/>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0BEC"/>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855"/>
    <w:rsid w:val="0024498F"/>
    <w:rsid w:val="0024535B"/>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AFE"/>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97953"/>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36C0"/>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F4E"/>
    <w:rsid w:val="002D49E5"/>
    <w:rsid w:val="002D6257"/>
    <w:rsid w:val="002D6987"/>
    <w:rsid w:val="002E030E"/>
    <w:rsid w:val="002E06B0"/>
    <w:rsid w:val="002E06BB"/>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2F79E8"/>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8D2"/>
    <w:rsid w:val="00313EB3"/>
    <w:rsid w:val="00313FC5"/>
    <w:rsid w:val="00315003"/>
    <w:rsid w:val="00315D6F"/>
    <w:rsid w:val="00316B27"/>
    <w:rsid w:val="00316DC1"/>
    <w:rsid w:val="00317E19"/>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AE9"/>
    <w:rsid w:val="00364CF9"/>
    <w:rsid w:val="003656E0"/>
    <w:rsid w:val="00365E9F"/>
    <w:rsid w:val="003664C9"/>
    <w:rsid w:val="00366871"/>
    <w:rsid w:val="00367117"/>
    <w:rsid w:val="00367712"/>
    <w:rsid w:val="00367AE6"/>
    <w:rsid w:val="00367F22"/>
    <w:rsid w:val="0037016F"/>
    <w:rsid w:val="00370374"/>
    <w:rsid w:val="00371901"/>
    <w:rsid w:val="00372A21"/>
    <w:rsid w:val="00372FCD"/>
    <w:rsid w:val="0037333D"/>
    <w:rsid w:val="00374540"/>
    <w:rsid w:val="003746C1"/>
    <w:rsid w:val="00374A96"/>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39A"/>
    <w:rsid w:val="003A6459"/>
    <w:rsid w:val="003A7860"/>
    <w:rsid w:val="003A796A"/>
    <w:rsid w:val="003B009E"/>
    <w:rsid w:val="003B1472"/>
    <w:rsid w:val="003B1A5F"/>
    <w:rsid w:val="003B1D0F"/>
    <w:rsid w:val="003B282B"/>
    <w:rsid w:val="003B2B19"/>
    <w:rsid w:val="003B4BC1"/>
    <w:rsid w:val="003B4F58"/>
    <w:rsid w:val="003B4FB6"/>
    <w:rsid w:val="003B5A8C"/>
    <w:rsid w:val="003B5C47"/>
    <w:rsid w:val="003B6158"/>
    <w:rsid w:val="003B7DE9"/>
    <w:rsid w:val="003C0CE0"/>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05C"/>
    <w:rsid w:val="003D37ED"/>
    <w:rsid w:val="003D395A"/>
    <w:rsid w:val="003D46B0"/>
    <w:rsid w:val="003D542C"/>
    <w:rsid w:val="003D5B26"/>
    <w:rsid w:val="003D6970"/>
    <w:rsid w:val="003D6BFA"/>
    <w:rsid w:val="003D6C2D"/>
    <w:rsid w:val="003E1C0F"/>
    <w:rsid w:val="003E28D8"/>
    <w:rsid w:val="003E3201"/>
    <w:rsid w:val="003E3F3B"/>
    <w:rsid w:val="003E4C87"/>
    <w:rsid w:val="003E54DE"/>
    <w:rsid w:val="003E57BF"/>
    <w:rsid w:val="003E6955"/>
    <w:rsid w:val="003E6FC2"/>
    <w:rsid w:val="003E7191"/>
    <w:rsid w:val="003E7944"/>
    <w:rsid w:val="003F03ED"/>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659"/>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8BD"/>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353"/>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32BE"/>
    <w:rsid w:val="004C34CE"/>
    <w:rsid w:val="004C3F91"/>
    <w:rsid w:val="004C4493"/>
    <w:rsid w:val="004C45E2"/>
    <w:rsid w:val="004C4D0C"/>
    <w:rsid w:val="004C53B2"/>
    <w:rsid w:val="004C57B1"/>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C78"/>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416"/>
    <w:rsid w:val="00502535"/>
    <w:rsid w:val="005026A9"/>
    <w:rsid w:val="005036A0"/>
    <w:rsid w:val="005038FC"/>
    <w:rsid w:val="00503FB8"/>
    <w:rsid w:val="00504015"/>
    <w:rsid w:val="00504A89"/>
    <w:rsid w:val="00504AA5"/>
    <w:rsid w:val="00504B53"/>
    <w:rsid w:val="0050562E"/>
    <w:rsid w:val="005057A5"/>
    <w:rsid w:val="00505BEF"/>
    <w:rsid w:val="0050618F"/>
    <w:rsid w:val="005109C3"/>
    <w:rsid w:val="00511426"/>
    <w:rsid w:val="00511573"/>
    <w:rsid w:val="00512353"/>
    <w:rsid w:val="00512508"/>
    <w:rsid w:val="00513C29"/>
    <w:rsid w:val="00513FB7"/>
    <w:rsid w:val="00514A01"/>
    <w:rsid w:val="00515A3D"/>
    <w:rsid w:val="00515A5C"/>
    <w:rsid w:val="005166CA"/>
    <w:rsid w:val="00516920"/>
    <w:rsid w:val="00517206"/>
    <w:rsid w:val="00520296"/>
    <w:rsid w:val="00520376"/>
    <w:rsid w:val="00520A89"/>
    <w:rsid w:val="005210A8"/>
    <w:rsid w:val="00521489"/>
    <w:rsid w:val="00521874"/>
    <w:rsid w:val="0052196B"/>
    <w:rsid w:val="005233C0"/>
    <w:rsid w:val="0052370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920"/>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76A"/>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64BE"/>
    <w:rsid w:val="005C026B"/>
    <w:rsid w:val="005C194C"/>
    <w:rsid w:val="005C2667"/>
    <w:rsid w:val="005C295A"/>
    <w:rsid w:val="005C2C21"/>
    <w:rsid w:val="005C3B4F"/>
    <w:rsid w:val="005C44D1"/>
    <w:rsid w:val="005C52A6"/>
    <w:rsid w:val="005C657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5B1"/>
    <w:rsid w:val="005F1A16"/>
    <w:rsid w:val="005F2E73"/>
    <w:rsid w:val="005F3979"/>
    <w:rsid w:val="005F3DBD"/>
    <w:rsid w:val="005F49D9"/>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2A2"/>
    <w:rsid w:val="00604463"/>
    <w:rsid w:val="00604555"/>
    <w:rsid w:val="00604A0F"/>
    <w:rsid w:val="00604DB2"/>
    <w:rsid w:val="00606DBB"/>
    <w:rsid w:val="006077A7"/>
    <w:rsid w:val="00607959"/>
    <w:rsid w:val="0060798E"/>
    <w:rsid w:val="00610F93"/>
    <w:rsid w:val="00610FBE"/>
    <w:rsid w:val="00613278"/>
    <w:rsid w:val="006138E0"/>
    <w:rsid w:val="00613BFA"/>
    <w:rsid w:val="00613F3F"/>
    <w:rsid w:val="00614799"/>
    <w:rsid w:val="00615D0E"/>
    <w:rsid w:val="0061673E"/>
    <w:rsid w:val="00616BC0"/>
    <w:rsid w:val="00617744"/>
    <w:rsid w:val="00617950"/>
    <w:rsid w:val="00617BB8"/>
    <w:rsid w:val="00621772"/>
    <w:rsid w:val="00622770"/>
    <w:rsid w:val="00622801"/>
    <w:rsid w:val="00622BDF"/>
    <w:rsid w:val="00623221"/>
    <w:rsid w:val="00624FDF"/>
    <w:rsid w:val="006252F2"/>
    <w:rsid w:val="00625D43"/>
    <w:rsid w:val="00626122"/>
    <w:rsid w:val="0062656E"/>
    <w:rsid w:val="00626638"/>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C6A"/>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166"/>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BE6"/>
    <w:rsid w:val="00687C15"/>
    <w:rsid w:val="006909A7"/>
    <w:rsid w:val="006913AD"/>
    <w:rsid w:val="00691507"/>
    <w:rsid w:val="006917AF"/>
    <w:rsid w:val="006919C1"/>
    <w:rsid w:val="00691C72"/>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1FCC"/>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09E"/>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302"/>
    <w:rsid w:val="006E7677"/>
    <w:rsid w:val="006E7E43"/>
    <w:rsid w:val="006E7FCD"/>
    <w:rsid w:val="006F01E6"/>
    <w:rsid w:val="006F05FA"/>
    <w:rsid w:val="006F1933"/>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C09"/>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444E"/>
    <w:rsid w:val="0072615B"/>
    <w:rsid w:val="007267CF"/>
    <w:rsid w:val="00727843"/>
    <w:rsid w:val="0073079A"/>
    <w:rsid w:val="00731FCA"/>
    <w:rsid w:val="00732255"/>
    <w:rsid w:val="007325C8"/>
    <w:rsid w:val="00732B93"/>
    <w:rsid w:val="0073324D"/>
    <w:rsid w:val="0073362E"/>
    <w:rsid w:val="007337CD"/>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A14"/>
    <w:rsid w:val="00760B2C"/>
    <w:rsid w:val="007622EA"/>
    <w:rsid w:val="007627F6"/>
    <w:rsid w:val="00762AE4"/>
    <w:rsid w:val="00762DDD"/>
    <w:rsid w:val="0076417D"/>
    <w:rsid w:val="00765BBE"/>
    <w:rsid w:val="00766061"/>
    <w:rsid w:val="00767D92"/>
    <w:rsid w:val="007704F3"/>
    <w:rsid w:val="007710F2"/>
    <w:rsid w:val="007716E9"/>
    <w:rsid w:val="007719B7"/>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829"/>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967"/>
    <w:rsid w:val="007A5CEC"/>
    <w:rsid w:val="007A61F8"/>
    <w:rsid w:val="007A7018"/>
    <w:rsid w:val="007A7386"/>
    <w:rsid w:val="007A76F7"/>
    <w:rsid w:val="007A7861"/>
    <w:rsid w:val="007B01B5"/>
    <w:rsid w:val="007B0229"/>
    <w:rsid w:val="007B0BFE"/>
    <w:rsid w:val="007B1B62"/>
    <w:rsid w:val="007B1C22"/>
    <w:rsid w:val="007B24BC"/>
    <w:rsid w:val="007B3C6A"/>
    <w:rsid w:val="007B41A6"/>
    <w:rsid w:val="007B4537"/>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319"/>
    <w:rsid w:val="007D68CB"/>
    <w:rsid w:val="007D7A1C"/>
    <w:rsid w:val="007D7D7B"/>
    <w:rsid w:val="007D7FE6"/>
    <w:rsid w:val="007E00AB"/>
    <w:rsid w:val="007E01A4"/>
    <w:rsid w:val="007E03EC"/>
    <w:rsid w:val="007E0581"/>
    <w:rsid w:val="007E11D7"/>
    <w:rsid w:val="007E1334"/>
    <w:rsid w:val="007E1AA0"/>
    <w:rsid w:val="007E1E4C"/>
    <w:rsid w:val="007E2C35"/>
    <w:rsid w:val="007E3E6A"/>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0360"/>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1D6A"/>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2FC"/>
    <w:rsid w:val="008465D2"/>
    <w:rsid w:val="00850792"/>
    <w:rsid w:val="008508BF"/>
    <w:rsid w:val="0085298F"/>
    <w:rsid w:val="00852FA8"/>
    <w:rsid w:val="00853744"/>
    <w:rsid w:val="00853AF4"/>
    <w:rsid w:val="00853E9B"/>
    <w:rsid w:val="008541E9"/>
    <w:rsid w:val="00854230"/>
    <w:rsid w:val="00854C30"/>
    <w:rsid w:val="00854C99"/>
    <w:rsid w:val="008555AD"/>
    <w:rsid w:val="008571AA"/>
    <w:rsid w:val="00860962"/>
    <w:rsid w:val="00860CBD"/>
    <w:rsid w:val="00860E69"/>
    <w:rsid w:val="00861CA3"/>
    <w:rsid w:val="00861D34"/>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0D7A"/>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2F1"/>
    <w:rsid w:val="008B361D"/>
    <w:rsid w:val="008B3825"/>
    <w:rsid w:val="008B38A3"/>
    <w:rsid w:val="008B420A"/>
    <w:rsid w:val="008B51E2"/>
    <w:rsid w:val="008B5652"/>
    <w:rsid w:val="008B56C4"/>
    <w:rsid w:val="008B5982"/>
    <w:rsid w:val="008B6135"/>
    <w:rsid w:val="008B6214"/>
    <w:rsid w:val="008B66C8"/>
    <w:rsid w:val="008B69F4"/>
    <w:rsid w:val="008B6DBE"/>
    <w:rsid w:val="008B73E8"/>
    <w:rsid w:val="008B7B4F"/>
    <w:rsid w:val="008B7F2F"/>
    <w:rsid w:val="008C0BD9"/>
    <w:rsid w:val="008C0ECB"/>
    <w:rsid w:val="008C1034"/>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887"/>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BBB"/>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45BC"/>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1ED4"/>
    <w:rsid w:val="009323E1"/>
    <w:rsid w:val="009324A8"/>
    <w:rsid w:val="00932532"/>
    <w:rsid w:val="00934A46"/>
    <w:rsid w:val="00935BC3"/>
    <w:rsid w:val="00937266"/>
    <w:rsid w:val="00940AA9"/>
    <w:rsid w:val="00941264"/>
    <w:rsid w:val="0094296E"/>
    <w:rsid w:val="0094298C"/>
    <w:rsid w:val="0094553A"/>
    <w:rsid w:val="0094563A"/>
    <w:rsid w:val="00947FC1"/>
    <w:rsid w:val="009517E1"/>
    <w:rsid w:val="00951B46"/>
    <w:rsid w:val="009533D9"/>
    <w:rsid w:val="0095377B"/>
    <w:rsid w:val="00953D64"/>
    <w:rsid w:val="00953F93"/>
    <w:rsid w:val="009542EA"/>
    <w:rsid w:val="00954924"/>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311"/>
    <w:rsid w:val="0097583A"/>
    <w:rsid w:val="00975E36"/>
    <w:rsid w:val="009767B4"/>
    <w:rsid w:val="00976A11"/>
    <w:rsid w:val="00977F49"/>
    <w:rsid w:val="00980D1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2D63"/>
    <w:rsid w:val="009D5EDD"/>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535E"/>
    <w:rsid w:val="009E6C19"/>
    <w:rsid w:val="009E6E2F"/>
    <w:rsid w:val="009F0845"/>
    <w:rsid w:val="009F1EDE"/>
    <w:rsid w:val="009F2CEE"/>
    <w:rsid w:val="009F2EF1"/>
    <w:rsid w:val="009F3F1F"/>
    <w:rsid w:val="009F426B"/>
    <w:rsid w:val="009F6192"/>
    <w:rsid w:val="009F672D"/>
    <w:rsid w:val="009F6E2E"/>
    <w:rsid w:val="009F7C54"/>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1776A"/>
    <w:rsid w:val="00A20159"/>
    <w:rsid w:val="00A2137A"/>
    <w:rsid w:val="00A21480"/>
    <w:rsid w:val="00A2170A"/>
    <w:rsid w:val="00A23BE3"/>
    <w:rsid w:val="00A24116"/>
    <w:rsid w:val="00A242BE"/>
    <w:rsid w:val="00A25BB6"/>
    <w:rsid w:val="00A278EB"/>
    <w:rsid w:val="00A30ABB"/>
    <w:rsid w:val="00A30FB2"/>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4D"/>
    <w:rsid w:val="00A51559"/>
    <w:rsid w:val="00A51681"/>
    <w:rsid w:val="00A51EB0"/>
    <w:rsid w:val="00A52861"/>
    <w:rsid w:val="00A52A2C"/>
    <w:rsid w:val="00A548C6"/>
    <w:rsid w:val="00A54C2F"/>
    <w:rsid w:val="00A55507"/>
    <w:rsid w:val="00A56CD0"/>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138"/>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3DDC"/>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A01"/>
    <w:rsid w:val="00B00963"/>
    <w:rsid w:val="00B01716"/>
    <w:rsid w:val="00B01BDE"/>
    <w:rsid w:val="00B02279"/>
    <w:rsid w:val="00B03227"/>
    <w:rsid w:val="00B037D6"/>
    <w:rsid w:val="00B038AD"/>
    <w:rsid w:val="00B038CA"/>
    <w:rsid w:val="00B03B5E"/>
    <w:rsid w:val="00B03B92"/>
    <w:rsid w:val="00B046B1"/>
    <w:rsid w:val="00B04801"/>
    <w:rsid w:val="00B0481F"/>
    <w:rsid w:val="00B04BD5"/>
    <w:rsid w:val="00B05320"/>
    <w:rsid w:val="00B05534"/>
    <w:rsid w:val="00B06462"/>
    <w:rsid w:val="00B06E83"/>
    <w:rsid w:val="00B07922"/>
    <w:rsid w:val="00B10E8F"/>
    <w:rsid w:val="00B1104E"/>
    <w:rsid w:val="00B113E6"/>
    <w:rsid w:val="00B11AA5"/>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47A0"/>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720"/>
    <w:rsid w:val="00B72DFD"/>
    <w:rsid w:val="00B72E61"/>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1A95"/>
    <w:rsid w:val="00B92FFE"/>
    <w:rsid w:val="00B93A68"/>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5FC9"/>
    <w:rsid w:val="00BA6881"/>
    <w:rsid w:val="00BA759D"/>
    <w:rsid w:val="00BA7968"/>
    <w:rsid w:val="00BA7B15"/>
    <w:rsid w:val="00BB0320"/>
    <w:rsid w:val="00BB2668"/>
    <w:rsid w:val="00BB3275"/>
    <w:rsid w:val="00BB3604"/>
    <w:rsid w:val="00BB379D"/>
    <w:rsid w:val="00BB3F6D"/>
    <w:rsid w:val="00BB4131"/>
    <w:rsid w:val="00BB565B"/>
    <w:rsid w:val="00BB5B7E"/>
    <w:rsid w:val="00BB6239"/>
    <w:rsid w:val="00BB6FE9"/>
    <w:rsid w:val="00BC02EF"/>
    <w:rsid w:val="00BC0430"/>
    <w:rsid w:val="00BC0B86"/>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C7DEC"/>
    <w:rsid w:val="00BD07B4"/>
    <w:rsid w:val="00BD1CC1"/>
    <w:rsid w:val="00BD2A68"/>
    <w:rsid w:val="00BD2E54"/>
    <w:rsid w:val="00BD5061"/>
    <w:rsid w:val="00BD589A"/>
    <w:rsid w:val="00BD5D53"/>
    <w:rsid w:val="00BD672B"/>
    <w:rsid w:val="00BD6E12"/>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2F15"/>
    <w:rsid w:val="00BF3789"/>
    <w:rsid w:val="00BF4287"/>
    <w:rsid w:val="00BF4324"/>
    <w:rsid w:val="00BF4E26"/>
    <w:rsid w:val="00BF5865"/>
    <w:rsid w:val="00BF5897"/>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B94"/>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C48"/>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ACD"/>
    <w:rsid w:val="00C53D02"/>
    <w:rsid w:val="00C54C13"/>
    <w:rsid w:val="00C54D4A"/>
    <w:rsid w:val="00C54DF5"/>
    <w:rsid w:val="00C54E36"/>
    <w:rsid w:val="00C54E64"/>
    <w:rsid w:val="00C55C44"/>
    <w:rsid w:val="00C55C7E"/>
    <w:rsid w:val="00C55F22"/>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A11"/>
    <w:rsid w:val="00C74F5C"/>
    <w:rsid w:val="00C75C02"/>
    <w:rsid w:val="00C76BFE"/>
    <w:rsid w:val="00C77681"/>
    <w:rsid w:val="00C77D90"/>
    <w:rsid w:val="00C808F0"/>
    <w:rsid w:val="00C809E5"/>
    <w:rsid w:val="00C824AD"/>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491E"/>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7D7"/>
    <w:rsid w:val="00CA6E68"/>
    <w:rsid w:val="00CA7208"/>
    <w:rsid w:val="00CB1279"/>
    <w:rsid w:val="00CB13DF"/>
    <w:rsid w:val="00CB2D12"/>
    <w:rsid w:val="00CB2E36"/>
    <w:rsid w:val="00CB38E8"/>
    <w:rsid w:val="00CB3CAD"/>
    <w:rsid w:val="00CB4985"/>
    <w:rsid w:val="00CB63DB"/>
    <w:rsid w:val="00CB677D"/>
    <w:rsid w:val="00CB6D83"/>
    <w:rsid w:val="00CB6FF0"/>
    <w:rsid w:val="00CB7334"/>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1E43"/>
    <w:rsid w:val="00CD3C27"/>
    <w:rsid w:val="00CD4084"/>
    <w:rsid w:val="00CD59BF"/>
    <w:rsid w:val="00CD6E3C"/>
    <w:rsid w:val="00CD74BA"/>
    <w:rsid w:val="00CE0B55"/>
    <w:rsid w:val="00CE0E3E"/>
    <w:rsid w:val="00CE12A6"/>
    <w:rsid w:val="00CE1968"/>
    <w:rsid w:val="00CE1CC9"/>
    <w:rsid w:val="00CE2909"/>
    <w:rsid w:val="00CE317E"/>
    <w:rsid w:val="00CE409F"/>
    <w:rsid w:val="00CE479A"/>
    <w:rsid w:val="00CE4870"/>
    <w:rsid w:val="00CE61C3"/>
    <w:rsid w:val="00CE6A0D"/>
    <w:rsid w:val="00CE71E6"/>
    <w:rsid w:val="00CE72B8"/>
    <w:rsid w:val="00CE76BE"/>
    <w:rsid w:val="00CF0083"/>
    <w:rsid w:val="00CF08AB"/>
    <w:rsid w:val="00CF0FEE"/>
    <w:rsid w:val="00CF2208"/>
    <w:rsid w:val="00CF2D11"/>
    <w:rsid w:val="00CF3649"/>
    <w:rsid w:val="00CF3A89"/>
    <w:rsid w:val="00CF3E91"/>
    <w:rsid w:val="00CF5838"/>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CF"/>
    <w:rsid w:val="00D159FF"/>
    <w:rsid w:val="00D15B2F"/>
    <w:rsid w:val="00D15D65"/>
    <w:rsid w:val="00D162A4"/>
    <w:rsid w:val="00D16D32"/>
    <w:rsid w:val="00D17BE1"/>
    <w:rsid w:val="00D20446"/>
    <w:rsid w:val="00D20EFA"/>
    <w:rsid w:val="00D2121B"/>
    <w:rsid w:val="00D215BF"/>
    <w:rsid w:val="00D21D0C"/>
    <w:rsid w:val="00D2332E"/>
    <w:rsid w:val="00D24201"/>
    <w:rsid w:val="00D24747"/>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973"/>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28"/>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42"/>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73A"/>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46AA"/>
    <w:rsid w:val="00DE5343"/>
    <w:rsid w:val="00DE5BEF"/>
    <w:rsid w:val="00DE66CD"/>
    <w:rsid w:val="00DE6958"/>
    <w:rsid w:val="00DE755D"/>
    <w:rsid w:val="00DF0724"/>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C6F"/>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43C"/>
    <w:rsid w:val="00E26712"/>
    <w:rsid w:val="00E2682A"/>
    <w:rsid w:val="00E27447"/>
    <w:rsid w:val="00E3095F"/>
    <w:rsid w:val="00E30B43"/>
    <w:rsid w:val="00E31870"/>
    <w:rsid w:val="00E31E60"/>
    <w:rsid w:val="00E31E68"/>
    <w:rsid w:val="00E3262A"/>
    <w:rsid w:val="00E327E1"/>
    <w:rsid w:val="00E32E3E"/>
    <w:rsid w:val="00E34E1E"/>
    <w:rsid w:val="00E3574C"/>
    <w:rsid w:val="00E357BB"/>
    <w:rsid w:val="00E3631C"/>
    <w:rsid w:val="00E369D1"/>
    <w:rsid w:val="00E36D92"/>
    <w:rsid w:val="00E36FE9"/>
    <w:rsid w:val="00E37AC2"/>
    <w:rsid w:val="00E37D6E"/>
    <w:rsid w:val="00E37E5D"/>
    <w:rsid w:val="00E37EBA"/>
    <w:rsid w:val="00E40054"/>
    <w:rsid w:val="00E4269F"/>
    <w:rsid w:val="00E42EBD"/>
    <w:rsid w:val="00E43125"/>
    <w:rsid w:val="00E434A7"/>
    <w:rsid w:val="00E43709"/>
    <w:rsid w:val="00E4431D"/>
    <w:rsid w:val="00E446A5"/>
    <w:rsid w:val="00E447E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EB4"/>
    <w:rsid w:val="00E56F98"/>
    <w:rsid w:val="00E60126"/>
    <w:rsid w:val="00E60783"/>
    <w:rsid w:val="00E61AD9"/>
    <w:rsid w:val="00E625E8"/>
    <w:rsid w:val="00E62993"/>
    <w:rsid w:val="00E62DE9"/>
    <w:rsid w:val="00E630B7"/>
    <w:rsid w:val="00E634DA"/>
    <w:rsid w:val="00E64D0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3E55"/>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146"/>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173"/>
    <w:rsid w:val="00EF7611"/>
    <w:rsid w:val="00EF7741"/>
    <w:rsid w:val="00EF78D0"/>
    <w:rsid w:val="00EF7C69"/>
    <w:rsid w:val="00F00080"/>
    <w:rsid w:val="00F00778"/>
    <w:rsid w:val="00F01821"/>
    <w:rsid w:val="00F01D9B"/>
    <w:rsid w:val="00F03046"/>
    <w:rsid w:val="00F043C9"/>
    <w:rsid w:val="00F04FA6"/>
    <w:rsid w:val="00F0554B"/>
    <w:rsid w:val="00F07EE5"/>
    <w:rsid w:val="00F10609"/>
    <w:rsid w:val="00F116E5"/>
    <w:rsid w:val="00F11F96"/>
    <w:rsid w:val="00F12262"/>
    <w:rsid w:val="00F1254B"/>
    <w:rsid w:val="00F12B01"/>
    <w:rsid w:val="00F12B2C"/>
    <w:rsid w:val="00F12C00"/>
    <w:rsid w:val="00F12EB7"/>
    <w:rsid w:val="00F130F5"/>
    <w:rsid w:val="00F131AC"/>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4FF1"/>
    <w:rsid w:val="00F3569A"/>
    <w:rsid w:val="00F35823"/>
    <w:rsid w:val="00F35D8B"/>
    <w:rsid w:val="00F35DD8"/>
    <w:rsid w:val="00F36059"/>
    <w:rsid w:val="00F37823"/>
    <w:rsid w:val="00F3785E"/>
    <w:rsid w:val="00F3796F"/>
    <w:rsid w:val="00F37FBD"/>
    <w:rsid w:val="00F40B91"/>
    <w:rsid w:val="00F41186"/>
    <w:rsid w:val="00F42D9F"/>
    <w:rsid w:val="00F42E4B"/>
    <w:rsid w:val="00F43BA8"/>
    <w:rsid w:val="00F4512B"/>
    <w:rsid w:val="00F461CE"/>
    <w:rsid w:val="00F46256"/>
    <w:rsid w:val="00F46AB1"/>
    <w:rsid w:val="00F472D1"/>
    <w:rsid w:val="00F509AE"/>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398"/>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2D2C"/>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43"/>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817"/>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2D2"/>
    <w:rsid w:val="00FE4729"/>
    <w:rsid w:val="00FE4ABC"/>
    <w:rsid w:val="00FE4D3E"/>
    <w:rsid w:val="00FE4F0E"/>
    <w:rsid w:val="00FE6BAD"/>
    <w:rsid w:val="00FE78A7"/>
    <w:rsid w:val="00FE7C80"/>
    <w:rsid w:val="00FF2F94"/>
    <w:rsid w:val="00FF35C5"/>
    <w:rsid w:val="00FF37B2"/>
    <w:rsid w:val="00FF530E"/>
    <w:rsid w:val="00FF5C3C"/>
    <w:rsid w:val="00FF5D17"/>
    <w:rsid w:val="00FF6FDC"/>
    <w:rsid w:val="00FF7695"/>
    <w:rsid w:val="02FCE2F7"/>
    <w:rsid w:val="04D832E9"/>
    <w:rsid w:val="0E698C70"/>
    <w:rsid w:val="11A5AB5B"/>
    <w:rsid w:val="21CBD92E"/>
    <w:rsid w:val="22EA8F6D"/>
    <w:rsid w:val="23C3998F"/>
    <w:rsid w:val="24B8B843"/>
    <w:rsid w:val="27F05905"/>
    <w:rsid w:val="29729D5D"/>
    <w:rsid w:val="298C2966"/>
    <w:rsid w:val="2B27F9C7"/>
    <w:rsid w:val="2CC3CA28"/>
    <w:rsid w:val="2E5F9A89"/>
    <w:rsid w:val="37FD28C5"/>
    <w:rsid w:val="3C159ABB"/>
    <w:rsid w:val="4095E3D7"/>
    <w:rsid w:val="414EDF46"/>
    <w:rsid w:val="48945686"/>
    <w:rsid w:val="48F73B2F"/>
    <w:rsid w:val="51024D14"/>
    <w:rsid w:val="53990E09"/>
    <w:rsid w:val="54858D09"/>
    <w:rsid w:val="58026CE2"/>
    <w:rsid w:val="5842A06E"/>
    <w:rsid w:val="5A833BA7"/>
    <w:rsid w:val="5AF55D9B"/>
    <w:rsid w:val="61205E64"/>
    <w:rsid w:val="62C780E2"/>
    <w:rsid w:val="6353015C"/>
    <w:rsid w:val="637A30A6"/>
    <w:rsid w:val="6B99EDBA"/>
    <w:rsid w:val="6D1DC6A4"/>
    <w:rsid w:val="6E8FBFB6"/>
    <w:rsid w:val="6F5F2DB5"/>
    <w:rsid w:val="71D7C2A0"/>
    <w:rsid w:val="7236E3F8"/>
    <w:rsid w:val="741EDEE5"/>
    <w:rsid w:val="785135B7"/>
    <w:rsid w:val="786735EB"/>
    <w:rsid w:val="78805E48"/>
    <w:rsid w:val="7ABB0AD1"/>
    <w:rsid w:val="7BB7FF0A"/>
    <w:rsid w:val="7D53CF6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C431B570-8343-44F8-9E51-64F47D4C4CE4}"/>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1407</Words>
  <Characters>9123</Characters>
  <Application>Microsoft Office Word</Application>
  <DocSecurity>0</DocSecurity>
  <Lines>162</Lines>
  <Paragraphs>91</Paragraphs>
  <ScaleCrop>false</ScaleCrop>
  <HeadingPairs>
    <vt:vector size="2" baseType="variant">
      <vt:variant>
        <vt:lpstr>Title</vt:lpstr>
      </vt:variant>
      <vt:variant>
        <vt:i4>1</vt:i4>
      </vt:variant>
    </vt:vector>
  </HeadingPairs>
  <TitlesOfParts>
    <vt:vector size="1" baseType="lpstr">
      <vt:lpstr>Testosterone - Testosterone Enanthate TGC PA 1368-A UDR 03-2024a-V</vt:lpstr>
    </vt:vector>
  </TitlesOfParts>
  <Company>PCS Health Systems</Company>
  <LinksUpToDate>false</LinksUpToDate>
  <CharactersWithSpaces>10439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Testosterone - Testosterone Enanthate TGC PA 1368-A</dc:title>
  <dc:subject/>
  <dc:creator>CVS Caremark</dc:creator>
  <cp:keywords/>
  <cp:lastModifiedBy>Huerta, Linda M</cp:lastModifiedBy>
  <cp:revision>4</cp:revision>
  <cp:lastPrinted>2018-01-09T05:01:00Z</cp:lastPrinted>
  <dcterms:created xsi:type="dcterms:W3CDTF">2025-06-26T21:09:00Z</dcterms:created>
  <dcterms:modified xsi:type="dcterms:W3CDTF">2025-06-26T21:14:00Z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MediaServiceImageTags">
    <vt:lpwstr/>
  </property>
  <property fmtid="{D5CDD505-2E9C-101B-9397-08002B2CF9AE}" pid="10" name="Order">
    <vt:r8>767800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ContentTypeId">
    <vt:lpwstr>0x0101004AE5A02051B9624785D9530930705DB3</vt:lpwstr>
  </property>
  <property fmtid="{D5CDD505-2E9C-101B-9397-08002B2CF9AE}" pid="18" name="_SourceUrl">
    <vt:lpwstr/>
  </property>
  <property fmtid="{D5CDD505-2E9C-101B-9397-08002B2CF9AE}" pid="19" name="_SharedFileIndex">
    <vt:lpwstr/>
  </property>
</Properties>
</file>